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版本号：HCCG-2026-06820260409001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略阳县地震灾害损失预评估项目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HCCG-2026-068</w:t>
      </w:r>
      <w:r>
        <w:br/>
      </w:r>
      <w:r>
        <w:br/>
      </w:r>
      <w:r>
        <w:br/>
      </w:r>
    </w:p>
    <w:p>
      <w:pPr>
        <w:pStyle w:val="null3"/>
        <w:jc w:val="center"/>
        <w:outlineLvl w:val="2"/>
      </w:pPr>
      <w:r>
        <w:rPr>
          <w:rFonts w:ascii="仿宋_GB2312" w:hAnsi="仿宋_GB2312" w:cs="仿宋_GB2312" w:eastAsia="仿宋_GB2312"/>
          <w:sz w:val="28"/>
          <w:b/>
        </w:rPr>
        <w:t>略阳县应急管理局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略阳县应急管理局</w:t>
      </w:r>
      <w:r>
        <w:rPr>
          <w:rFonts w:ascii="仿宋_GB2312" w:hAnsi="仿宋_GB2312" w:cs="仿宋_GB2312" w:eastAsia="仿宋_GB2312"/>
        </w:rPr>
        <w:t>委托，拟对</w:t>
      </w:r>
      <w:r>
        <w:rPr>
          <w:rFonts w:ascii="仿宋_GB2312" w:hAnsi="仿宋_GB2312" w:cs="仿宋_GB2312" w:eastAsia="仿宋_GB2312"/>
        </w:rPr>
        <w:t>略阳县地震灾害损失预评估项目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HCCG-2026-068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略阳县地震灾害损失预评估项目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略阳县国土面积约2831平方千米，根据《中国地震动参数区划图》（GB18306-2015），略阳县大部分区域基本设防烈度为Ⅶ（7度）设防区，小部分区域基本设防烈度为Ⅷ（8度）设防区，全域均属于高烈度区；略阳县受龙门山地震带与略阳-勉县-洋县活动断裂影响，受邻区强震波及效应明显，综合确定在汉中市略阳县全域开展地震灾害损失预评估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营业执照、组织机构代码证、税务登记证（多证合一只提供营业执照，事业单位提供事业单位法人证书，自然人提供本人身份证）合法有效：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财务状况报告：须提供2024年度或2025年度经审计的财务会计报告，成立时间至提交投标文件截止时间不足一年的可提供成立后任意时段的资产负债表），或提供投标截止时间前6个月内基本账户开户银行出具的资信证明（附开户许可证或基本账户证明）（以上两种形式的资料提供任何一种即可）</w:t>
      </w:r>
    </w:p>
    <w:p>
      <w:pPr>
        <w:pStyle w:val="null3"/>
      </w:pPr>
      <w:r>
        <w:rPr>
          <w:rFonts w:ascii="仿宋_GB2312" w:hAnsi="仿宋_GB2312" w:cs="仿宋_GB2312" w:eastAsia="仿宋_GB2312"/>
        </w:rPr>
        <w:t>3、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4、社会保障资金缴纳证明：提供递交响应文件截止之日前一年内已缴存至少一个月社会保障资金缴纳的有效证明，依法不需要缴纳社会保障资金的单位应提供相关证明材料</w:t>
      </w:r>
    </w:p>
    <w:p>
      <w:pPr>
        <w:pStyle w:val="null3"/>
      </w:pPr>
      <w:r>
        <w:rPr>
          <w:rFonts w:ascii="仿宋_GB2312" w:hAnsi="仿宋_GB2312" w:cs="仿宋_GB2312" w:eastAsia="仿宋_GB2312"/>
        </w:rPr>
        <w:t>5、供应商须提供参加采购活动近三年内经营活动中无重大违法记录声明：供应商须提供参加采购活动近三年内经营活动中无重大违法记录声明</w:t>
      </w:r>
    </w:p>
    <w:p>
      <w:pPr>
        <w:pStyle w:val="null3"/>
      </w:pPr>
      <w:r>
        <w:rPr>
          <w:rFonts w:ascii="仿宋_GB2312" w:hAnsi="仿宋_GB2312" w:cs="仿宋_GB2312" w:eastAsia="仿宋_GB2312"/>
        </w:rPr>
        <w:t>6、供应商须提供具有履行合同所必需的设备和专业技术能力的书面声明：供应商须提供具有履行合同所必需的设备和专业技术能力的书面声明</w:t>
      </w:r>
    </w:p>
    <w:p>
      <w:pPr>
        <w:pStyle w:val="null3"/>
      </w:pPr>
      <w:r>
        <w:rPr>
          <w:rFonts w:ascii="仿宋_GB2312" w:hAnsi="仿宋_GB2312" w:cs="仿宋_GB2312" w:eastAsia="仿宋_GB2312"/>
        </w:rPr>
        <w:t>7、法定代表人直接参与采购的须提供法定代表人身份证明书及法定代表人身份证复印件；授权人参与采购的须提供法定代表人授权委托书及法定代表人身份证复印件及被授权人身份证复印件：法定代表人直接参与采购的须提供法定代表人身份证明书及法定代表人身份证复印件；授权人参与采购的须提供法定代表人授权委托书及法定代表人身份证复印件及被授权人身份证复印件</w:t>
      </w:r>
    </w:p>
    <w:p>
      <w:pPr>
        <w:pStyle w:val="null3"/>
      </w:pPr>
      <w:r>
        <w:rPr>
          <w:rFonts w:ascii="仿宋_GB2312" w:hAnsi="仿宋_GB2312" w:cs="仿宋_GB2312" w:eastAsia="仿宋_GB2312"/>
        </w:rPr>
        <w:t>8、信誉：供应商在①“信用中国”（www.creditchina.gov.cn）网站上未被列入政府采购严重违法失信行为记录名单、重大税收违法失信主体；②“中国执行信息公开网”（http://zxgk.court.gov.cn/shixin/）网站上未被列入失信被执行人名单；③“中国政府采购网（www.ccgp.gov.cn）”上未被列入政府采购严重违法失信行为记录名单（以采购代理机构现场查询结果为准）</w:t>
      </w:r>
    </w:p>
    <w:p>
      <w:pPr>
        <w:pStyle w:val="null3"/>
      </w:pPr>
      <w:r>
        <w:rPr>
          <w:rFonts w:ascii="仿宋_GB2312" w:hAnsi="仿宋_GB2312" w:cs="仿宋_GB2312" w:eastAsia="仿宋_GB2312"/>
        </w:rPr>
        <w:t>9、本项目不接受联合体磋商，单位负责人为同一人或者存在控股、管理关系的不同投标单位，不得同时参加本项目投标活动：本项目不接受联合体磋商，单位负责人为同一人或者存在控股、管理关系的不同投标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陕西省汉中市略阳县狮凤路中段政府大楼531室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董伟毅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18091660358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 徐欣 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029-89115858-8010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代理服务费用收取对象：成交供应商 代理服务费收费标准：成交供应商在领取成交通知书前，须向采购代理机构支付成交服务费，服务费由采购人与采购代理机构约定：参照原国家计委计价格〔2002〕1980号文和国家发改委发改办价格〔2003〕857号文的计算方法按标准收取，不足5000元按5000元收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略阳县应急管理局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按照招标文件和合同等相关文件约定执行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 徐欣 冯建正</w:t>
      </w:r>
    </w:p>
    <w:p>
      <w:pPr>
        <w:pStyle w:val="null3"/>
      </w:pPr>
      <w:r>
        <w:rPr>
          <w:rFonts w:ascii="仿宋_GB2312" w:hAnsi="仿宋_GB2312" w:cs="仿宋_GB2312" w:eastAsia="仿宋_GB2312"/>
        </w:rPr>
        <w:t>联系电话：029-89115858-8010</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略阳县国土面积约2831平方千米，根据《中国地震动参数区划图》（GB18306-2015），略阳县大部分区域基本设防烈度为Ⅶ（7度）设防区，小部分区域基本设防烈度为Ⅷ（8度）设防区，全域均属于高烈度区；略阳县受龙门山地震带与略阳-勉县-洋县活动断裂影响，受邻区强震波及效应明显，综合确定在汉中市略阳县全域开展地震灾害损失预评估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略阳县地震灾害损失预评估项目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标的名称：略阳县地震灾害损失预评估项目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73"/>
              <w:jc w:val="both"/>
            </w:pPr>
            <w:r>
              <w:rPr>
                <w:rFonts w:ascii="仿宋_GB2312" w:hAnsi="仿宋_GB2312" w:cs="仿宋_GB2312" w:eastAsia="仿宋_GB2312"/>
                <w:sz w:val="24"/>
                <w:b/>
              </w:rPr>
              <w:t>一、</w:t>
            </w:r>
            <w:r>
              <w:rPr>
                <w:rFonts w:ascii="仿宋_GB2312" w:hAnsi="仿宋_GB2312" w:cs="仿宋_GB2312" w:eastAsia="仿宋_GB2312"/>
                <w:sz w:val="24"/>
                <w:b/>
              </w:rPr>
              <w:t>项目</w:t>
            </w:r>
            <w:r>
              <w:rPr>
                <w:rFonts w:ascii="仿宋_GB2312" w:hAnsi="仿宋_GB2312" w:cs="仿宋_GB2312" w:eastAsia="仿宋_GB2312"/>
                <w:sz w:val="24"/>
                <w:b/>
              </w:rPr>
              <w:t>基本情况</w:t>
            </w:r>
          </w:p>
          <w:p>
            <w:pPr>
              <w:pStyle w:val="null3"/>
              <w:ind w:firstLine="573"/>
              <w:jc w:val="both"/>
            </w:pPr>
            <w:r>
              <w:rPr>
                <w:rFonts w:ascii="仿宋_GB2312" w:hAnsi="仿宋_GB2312" w:cs="仿宋_GB2312" w:eastAsia="仿宋_GB2312"/>
                <w:sz w:val="24"/>
              </w:rPr>
              <w:t>汉中市略阳县国土面积约</w:t>
            </w:r>
            <w:r>
              <w:rPr>
                <w:rFonts w:ascii="仿宋_GB2312" w:hAnsi="仿宋_GB2312" w:cs="仿宋_GB2312" w:eastAsia="仿宋_GB2312"/>
                <w:sz w:val="24"/>
              </w:rPr>
              <w:t>2831平方千米，根据《中国地震动参数区划图》（GB18306-2015），略阳县大部分区域基本设防烈度为Ⅶ（7度）设防区，小部分区域基本设防烈度为Ⅷ（8度）设防区，全域均属于高烈度区；略阳县受龙门山地震带与略阳-勉县-洋县活动断裂影响，受邻区强震波及效应明显，综合确定在汉中市略阳县全域开展地震灾害损失预评估工作。</w:t>
            </w:r>
          </w:p>
          <w:p>
            <w:pPr>
              <w:pStyle w:val="null3"/>
              <w:ind w:firstLine="573"/>
              <w:jc w:val="both"/>
            </w:pPr>
            <w:r>
              <w:rPr>
                <w:rFonts w:ascii="仿宋_GB2312" w:hAnsi="仿宋_GB2312" w:cs="仿宋_GB2312" w:eastAsia="仿宋_GB2312"/>
                <w:sz w:val="24"/>
                <w:b/>
              </w:rPr>
              <w:t>二、</w:t>
            </w:r>
            <w:r>
              <w:rPr>
                <w:rFonts w:ascii="仿宋_GB2312" w:hAnsi="仿宋_GB2312" w:cs="仿宋_GB2312" w:eastAsia="仿宋_GB2312"/>
                <w:sz w:val="24"/>
                <w:b/>
              </w:rPr>
              <w:t>项目</w:t>
            </w:r>
            <w:r>
              <w:rPr>
                <w:rFonts w:ascii="仿宋_GB2312" w:hAnsi="仿宋_GB2312" w:cs="仿宋_GB2312" w:eastAsia="仿宋_GB2312"/>
                <w:sz w:val="24"/>
                <w:b/>
              </w:rPr>
              <w:t>实施目的</w:t>
            </w:r>
          </w:p>
          <w:p>
            <w:pPr>
              <w:pStyle w:val="null3"/>
              <w:ind w:firstLine="573"/>
              <w:jc w:val="both"/>
            </w:pPr>
            <w:r>
              <w:rPr>
                <w:rFonts w:ascii="仿宋_GB2312" w:hAnsi="仿宋_GB2312" w:cs="仿宋_GB2312" w:eastAsia="仿宋_GB2312"/>
                <w:sz w:val="24"/>
              </w:rPr>
              <w:t>针对略阳县震灾风险现状，通过实施全面系统性的预评估主要是让地方政府了解本辖区的地震灾害风险和可能造成的灾害损失，有针对性地提升地震应急准备能力，为震后地方政府应急处置决策提供技术支撑。</w:t>
            </w:r>
          </w:p>
          <w:p>
            <w:pPr>
              <w:pStyle w:val="null3"/>
              <w:ind w:firstLine="573"/>
              <w:jc w:val="both"/>
            </w:pPr>
            <w:r>
              <w:rPr>
                <w:rFonts w:ascii="仿宋_GB2312" w:hAnsi="仿宋_GB2312" w:cs="仿宋_GB2312" w:eastAsia="仿宋_GB2312"/>
                <w:sz w:val="24"/>
                <w:b/>
              </w:rPr>
              <w:t>三、项目建设内容</w:t>
            </w:r>
          </w:p>
          <w:p>
            <w:pPr>
              <w:pStyle w:val="null3"/>
              <w:ind w:firstLine="573"/>
              <w:jc w:val="both"/>
            </w:pPr>
            <w:r>
              <w:rPr>
                <w:rFonts w:ascii="仿宋_GB2312" w:hAnsi="仿宋_GB2312" w:cs="仿宋_GB2312" w:eastAsia="仿宋_GB2312"/>
                <w:sz w:val="24"/>
              </w:rPr>
              <w:t>基于各类数据及评估模型，结合建筑物易损性、人员和经济损失评估模型等，开展不同设定地震作用下建筑物损伤、人员和经济损失情况预评估，产出略阳县地震灾害损失预评估报告详本及简本；结合评估结果</w:t>
            </w:r>
            <w:r>
              <w:rPr>
                <w:rFonts w:ascii="仿宋_GB2312" w:hAnsi="仿宋_GB2312" w:cs="仿宋_GB2312" w:eastAsia="仿宋_GB2312"/>
                <w:sz w:val="24"/>
              </w:rPr>
              <w:t>,基于现状提出在震灾风险防范、地震应急处置等方面可能的风险点与需求，最终从地震应急组织体系、地震应急工作机制、地震应急预案、应急队伍建设、应急物资准备方面给出应急准备和处置对策建议,为政府震灾风险防治、地震应急准备和震后应急处置决策提供技术支撑。</w:t>
            </w:r>
          </w:p>
          <w:p>
            <w:pPr>
              <w:pStyle w:val="null3"/>
              <w:ind w:firstLine="573"/>
              <w:jc w:val="both"/>
            </w:pPr>
            <w:r>
              <w:rPr>
                <w:rFonts w:ascii="仿宋_GB2312" w:hAnsi="仿宋_GB2312" w:cs="仿宋_GB2312" w:eastAsia="仿宋_GB2312"/>
                <w:sz w:val="24"/>
              </w:rPr>
              <w:t>具体在略阳县范围内开展以下工作：</w:t>
            </w:r>
          </w:p>
          <w:p>
            <w:pPr>
              <w:pStyle w:val="null3"/>
              <w:ind w:firstLine="573"/>
              <w:jc w:val="both"/>
            </w:pPr>
            <w:r>
              <w:rPr>
                <w:rFonts w:ascii="仿宋_GB2312" w:hAnsi="仿宋_GB2312" w:cs="仿宋_GB2312" w:eastAsia="仿宋_GB2312"/>
                <w:sz w:val="24"/>
              </w:rPr>
              <w:t>（</w:t>
            </w:r>
            <w:r>
              <w:rPr>
                <w:rFonts w:ascii="仿宋_GB2312" w:hAnsi="仿宋_GB2312" w:cs="仿宋_GB2312" w:eastAsia="仿宋_GB2312"/>
                <w:sz w:val="24"/>
              </w:rPr>
              <w:t>1）基础数据收集和更新。收集全县范围内的行政区划、人口经济、地形地貌、建筑物、生命线系统、地质灾害隐患点、次生灾害危险源、应急备灾等相关基础数据，并对数据进行矢量化整理。</w:t>
            </w:r>
          </w:p>
          <w:p>
            <w:pPr>
              <w:pStyle w:val="null3"/>
              <w:ind w:firstLine="573"/>
              <w:jc w:val="both"/>
            </w:pPr>
            <w:r>
              <w:rPr>
                <w:rFonts w:ascii="仿宋_GB2312" w:hAnsi="仿宋_GB2312" w:cs="仿宋_GB2312" w:eastAsia="仿宋_GB2312"/>
                <w:sz w:val="24"/>
              </w:rPr>
              <w:t>（</w:t>
            </w:r>
            <w:r>
              <w:rPr>
                <w:rFonts w:ascii="仿宋_GB2312" w:hAnsi="仿宋_GB2312" w:cs="仿宋_GB2312" w:eastAsia="仿宋_GB2312"/>
                <w:sz w:val="24"/>
              </w:rPr>
              <w:t>2）现场调查。在基础资料收集的基础上，对每个镇/街道开展现场调查工作，具体包括调查点具有代表性的、量大面广的建筑物，兼顾抗震能力不同等次的区域及不同建筑年代，范围涵盖城镇、农村等不同行政单元，详细记录目标建筑的抗震设防情况、建筑面积、砌筑方式等，同时调查收集目标区内危险源、地灾隐患分布等的分布数据。</w:t>
            </w:r>
          </w:p>
          <w:p>
            <w:pPr>
              <w:pStyle w:val="null3"/>
              <w:ind w:firstLine="573"/>
              <w:jc w:val="both"/>
            </w:pPr>
            <w:r>
              <w:rPr>
                <w:rFonts w:ascii="仿宋_GB2312" w:hAnsi="仿宋_GB2312" w:cs="仿宋_GB2312" w:eastAsia="仿宋_GB2312"/>
                <w:sz w:val="24"/>
              </w:rPr>
              <w:t>（</w:t>
            </w:r>
            <w:r>
              <w:rPr>
                <w:rFonts w:ascii="仿宋_GB2312" w:hAnsi="仿宋_GB2312" w:cs="仿宋_GB2312" w:eastAsia="仿宋_GB2312"/>
                <w:sz w:val="24"/>
              </w:rPr>
              <w:t>3）构建典型建筑物易损性模型。对重要建筑物和村镇典型建筑物分别收集样本，分析各类结构的特征属性，开展建筑物抗震能力评价，构建建筑物易损性模型。其中收集的样本数据需要考虑建筑功能、建造年代、层数、设防情况等。</w:t>
            </w:r>
          </w:p>
          <w:p>
            <w:pPr>
              <w:pStyle w:val="null3"/>
              <w:ind w:firstLine="573"/>
              <w:jc w:val="both"/>
            </w:pPr>
            <w:r>
              <w:rPr>
                <w:rFonts w:ascii="仿宋_GB2312" w:hAnsi="仿宋_GB2312" w:cs="仿宋_GB2312" w:eastAsia="仿宋_GB2312"/>
                <w:sz w:val="24"/>
              </w:rPr>
              <w:t>（</w:t>
            </w:r>
            <w:r>
              <w:rPr>
                <w:rFonts w:ascii="仿宋_GB2312" w:hAnsi="仿宋_GB2312" w:cs="仿宋_GB2312" w:eastAsia="仿宋_GB2312"/>
                <w:sz w:val="24"/>
              </w:rPr>
              <w:t>4）设定地震灾害损失预评估。基于相关模型开展设定地震下的精细化人员伤亡、经济损失及评估。综合人员死伤、经济损失评估结果给出需紧急安置人数、救援需求等，根据专家经验修正评估结果。设定地震震级下限取 5.0 级，上限取县所在区域各潜源的最大震级。设定地震震中一般沿调研区内主要活动断裂走向，按照 10-50 公里的间隔来设定。以县为单元的评估区，每个镇（街道）至少有一个设定地震。同时需考虑人口密集地区直下型地震的不确定性，适当分布设定地震点。</w:t>
            </w:r>
          </w:p>
          <w:p>
            <w:pPr>
              <w:pStyle w:val="null3"/>
              <w:ind w:firstLine="573"/>
              <w:jc w:val="both"/>
            </w:pPr>
            <w:r>
              <w:rPr>
                <w:rFonts w:ascii="仿宋_GB2312" w:hAnsi="仿宋_GB2312" w:cs="仿宋_GB2312" w:eastAsia="仿宋_GB2312"/>
                <w:sz w:val="24"/>
              </w:rPr>
              <w:t>（</w:t>
            </w:r>
            <w:r>
              <w:rPr>
                <w:rFonts w:ascii="仿宋_GB2312" w:hAnsi="仿宋_GB2312" w:cs="仿宋_GB2312" w:eastAsia="仿宋_GB2312"/>
                <w:sz w:val="24"/>
              </w:rPr>
              <w:t>5）开展主要地震次生灾害评估。统计评估区内次生灾害隐患点，掌握主要次生灾害源的数量、规模及其分布，并初步判定各个灾害源的影响。</w:t>
            </w:r>
          </w:p>
          <w:p>
            <w:pPr>
              <w:pStyle w:val="null3"/>
              <w:ind w:firstLine="573"/>
              <w:jc w:val="both"/>
            </w:pPr>
            <w:r>
              <w:rPr>
                <w:rFonts w:ascii="仿宋_GB2312" w:hAnsi="仿宋_GB2312" w:cs="仿宋_GB2312" w:eastAsia="仿宋_GB2312"/>
                <w:sz w:val="24"/>
              </w:rPr>
              <w:t>（</w:t>
            </w:r>
            <w:r>
              <w:rPr>
                <w:rFonts w:ascii="仿宋_GB2312" w:hAnsi="仿宋_GB2312" w:cs="仿宋_GB2312" w:eastAsia="仿宋_GB2312"/>
                <w:sz w:val="24"/>
              </w:rPr>
              <w:t>6）开展应急处置能力预评估。结合损失评估结果、地震风险防控薄弱环节开展应急准备对策建议和地震应急处置措施要点分析，针对不同震级或不同地震烈度提出应急处置要点。</w:t>
            </w:r>
          </w:p>
          <w:p>
            <w:pPr>
              <w:pStyle w:val="null3"/>
              <w:ind w:firstLine="573"/>
              <w:jc w:val="both"/>
            </w:pPr>
            <w:r>
              <w:rPr>
                <w:rFonts w:ascii="仿宋_GB2312" w:hAnsi="仿宋_GB2312" w:cs="仿宋_GB2312" w:eastAsia="仿宋_GB2312"/>
                <w:sz w:val="24"/>
              </w:rPr>
              <w:t>（</w:t>
            </w:r>
            <w:r>
              <w:rPr>
                <w:rFonts w:ascii="仿宋_GB2312" w:hAnsi="仿宋_GB2312" w:cs="仿宋_GB2312" w:eastAsia="仿宋_GB2312"/>
                <w:sz w:val="24"/>
              </w:rPr>
              <w:t>7）编制地震灾害损失预评估报告、地震应对措施要点报告。</w:t>
            </w:r>
          </w:p>
          <w:p>
            <w:pPr>
              <w:pStyle w:val="null3"/>
              <w:ind w:firstLine="573"/>
              <w:jc w:val="both"/>
            </w:pPr>
            <w:r>
              <w:rPr>
                <w:rFonts w:ascii="仿宋_GB2312" w:hAnsi="仿宋_GB2312" w:cs="仿宋_GB2312" w:eastAsia="仿宋_GB2312"/>
                <w:sz w:val="24"/>
              </w:rPr>
              <w:t>（</w:t>
            </w:r>
            <w:r>
              <w:rPr>
                <w:rFonts w:ascii="仿宋_GB2312" w:hAnsi="仿宋_GB2312" w:cs="仿宋_GB2312" w:eastAsia="仿宋_GB2312"/>
                <w:sz w:val="24"/>
              </w:rPr>
              <w:t>8）编制不同等级下的地震危险性图、建筑物隐患分布图、人员伤亡和经济损失风险分布图等专题图，并形成图册。</w:t>
            </w:r>
          </w:p>
          <w:p>
            <w:pPr>
              <w:pStyle w:val="null3"/>
              <w:ind w:firstLine="573"/>
              <w:jc w:val="both"/>
            </w:pPr>
            <w:r>
              <w:rPr>
                <w:rFonts w:ascii="仿宋_GB2312" w:hAnsi="仿宋_GB2312" w:cs="仿宋_GB2312" w:eastAsia="仿宋_GB2312"/>
                <w:sz w:val="24"/>
                <w:b/>
              </w:rPr>
              <w:t>四、项目任务完成时限</w:t>
            </w:r>
          </w:p>
          <w:p>
            <w:pPr>
              <w:pStyle w:val="null3"/>
              <w:ind w:firstLine="573"/>
              <w:jc w:val="both"/>
            </w:pPr>
            <w:r>
              <w:rPr>
                <w:rFonts w:ascii="仿宋_GB2312" w:hAnsi="仿宋_GB2312" w:cs="仿宋_GB2312" w:eastAsia="仿宋_GB2312"/>
                <w:sz w:val="24"/>
              </w:rPr>
              <w:t>以汉中市略阳县为评估区域，在调查以及相关基础数据收集等工作的基础上，开展地震灾害风险预评估计算，继而进行报告编制及专家审查，自</w:t>
            </w:r>
            <w:r>
              <w:rPr>
                <w:rFonts w:ascii="仿宋_GB2312" w:hAnsi="仿宋_GB2312" w:cs="仿宋_GB2312" w:eastAsia="仿宋_GB2312"/>
                <w:sz w:val="24"/>
              </w:rPr>
              <w:t>签订</w:t>
            </w:r>
            <w:r>
              <w:rPr>
                <w:rFonts w:ascii="仿宋_GB2312" w:hAnsi="仿宋_GB2312" w:cs="仿宋_GB2312" w:eastAsia="仿宋_GB2312"/>
                <w:sz w:val="24"/>
              </w:rPr>
              <w:t>合同</w:t>
            </w:r>
            <w:r>
              <w:rPr>
                <w:rFonts w:ascii="仿宋_GB2312" w:hAnsi="仿宋_GB2312" w:cs="仿宋_GB2312" w:eastAsia="仿宋_GB2312"/>
                <w:sz w:val="24"/>
              </w:rPr>
              <w:t>后</w:t>
            </w:r>
            <w:r>
              <w:rPr>
                <w:rFonts w:ascii="仿宋_GB2312" w:hAnsi="仿宋_GB2312" w:cs="仿宋_GB2312" w:eastAsia="仿宋_GB2312"/>
                <w:sz w:val="24"/>
              </w:rPr>
              <w:t>1个月完成所有任务。</w:t>
            </w:r>
          </w:p>
          <w:p>
            <w:pPr>
              <w:pStyle w:val="null3"/>
              <w:ind w:firstLine="573"/>
              <w:jc w:val="both"/>
            </w:pPr>
            <w:r>
              <w:rPr>
                <w:rFonts w:ascii="仿宋_GB2312" w:hAnsi="仿宋_GB2312" w:cs="仿宋_GB2312" w:eastAsia="仿宋_GB2312"/>
                <w:sz w:val="24"/>
                <w:b/>
              </w:rPr>
              <w:t>五、项目实施参考的标准和规范</w:t>
            </w:r>
          </w:p>
          <w:p>
            <w:pPr>
              <w:pStyle w:val="null3"/>
              <w:ind w:firstLine="573"/>
              <w:jc w:val="both"/>
            </w:pPr>
            <w:r>
              <w:rPr>
                <w:rFonts w:ascii="仿宋_GB2312" w:hAnsi="仿宋_GB2312" w:cs="仿宋_GB2312" w:eastAsia="仿宋_GB2312"/>
                <w:sz w:val="24"/>
              </w:rPr>
              <w:t>《地震灾害损失预评估技术指南（</w:t>
            </w:r>
            <w:r>
              <w:rPr>
                <w:rFonts w:ascii="仿宋_GB2312" w:hAnsi="仿宋_GB2312" w:cs="仿宋_GB2312" w:eastAsia="仿宋_GB2312"/>
                <w:sz w:val="24"/>
              </w:rPr>
              <w:t>2023版）》，中国地震局</w:t>
            </w:r>
          </w:p>
          <w:p>
            <w:pPr>
              <w:pStyle w:val="null3"/>
              <w:ind w:firstLine="573"/>
              <w:jc w:val="both"/>
            </w:pPr>
            <w:r>
              <w:rPr>
                <w:rFonts w:ascii="仿宋_GB2312" w:hAnsi="仿宋_GB2312" w:cs="仿宋_GB2312" w:eastAsia="仿宋_GB2312"/>
                <w:sz w:val="24"/>
              </w:rPr>
              <w:t>《地震灾害损失精细化预评估规范》（</w:t>
            </w:r>
            <w:r>
              <w:rPr>
                <w:rFonts w:ascii="仿宋_GB2312" w:hAnsi="仿宋_GB2312" w:cs="仿宋_GB2312" w:eastAsia="仿宋_GB2312"/>
                <w:sz w:val="24"/>
              </w:rPr>
              <w:t>DB51/T 3320-2025），四川省市场监督管理局</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项目验收，验收依据主要包括：磋商文件、响应文件、采购合同、《中华人民共和国政府采购法》,《中华人民共和国政府采购法实施条例》等的相关要求。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签订合同后，乙方完成地震灾害损失预评估工作并验收合格后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甲方未能按照合同约定支付款项，每延迟一天应承担当期应付款2‰的违约金，违约金累计不超过当期应付款10%。若违约金累计已达上限，而甲方仍未按合同约定支付款项的，乙方有权立即终止本合同，由此给乙方带来的直接损失及间接损失应由甲方进行赔付。 2.乙方应按照合同规定的期限完成服务内容，每延迟一天应承担当期应付款2‰的违约金，违约金累计不超过当期应付款10%。若违约金累计已达上限，乙方仍未履行，甲方有权解除合同。 3.合同成立后，在任何一方无实质违约的情况下，未经相对方书面允许，任何一方不得单方撤销、中止、终止履行合同。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2024年度或2025年度经审计的财务会计报告，成立时间至提交投标文件截止时间不足一年的可提供成立后任意时段的资产负债表），或提供投标截止时间前6个月内基本账户开户银行出具的资信证明（附开户许可证或基本账户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提供递交响应文件截止之日前一年内已缴存至少一个月社会保障资金缴纳的有效证明，依法不需要缴纳社会保障资金的单位应提供相关证明材料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供应商须提供参加采购活动近三年内经营活动中无重大违法记录声明</w:t>
            </w:r>
          </w:p>
        </w:tc>
        <w:tc>
          <w:tcPr>
            <w:tcW w:type="dxa" w:w="3322"/>
          </w:tcPr>
          <w:p>
            <w:pPr>
              <w:pStyle w:val="null3"/>
            </w:pPr>
            <w:r>
              <w:rPr>
                <w:rFonts w:ascii="仿宋_GB2312" w:hAnsi="仿宋_GB2312" w:cs="仿宋_GB2312" w:eastAsia="仿宋_GB2312"/>
              </w:rPr>
              <w:t>供应商须提供参加采购活动近三年内经营活动中无重大违法记录声明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供应商须提供具有履行合同所必需的设备和专业技术能力的书面声明</w:t>
            </w:r>
          </w:p>
        </w:tc>
        <w:tc>
          <w:tcPr>
            <w:tcW w:type="dxa" w:w="3322"/>
          </w:tcPr>
          <w:p>
            <w:pPr>
              <w:pStyle w:val="null3"/>
            </w:pPr>
            <w:r>
              <w:rPr>
                <w:rFonts w:ascii="仿宋_GB2312" w:hAnsi="仿宋_GB2312" w:cs="仿宋_GB2312" w:eastAsia="仿宋_GB2312"/>
              </w:rPr>
              <w:t>供应商须提供具有履行合同所必需的设备和专业技术能力的书面声明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法定代表人直接参与采购的须提供法定代表人身份证明书及法定代表人身份证复印件；授权人参与采购的须提供法定代表人授权委托书及法定代表人身份证复印件及被授权人身份证复印件</w:t>
            </w:r>
          </w:p>
        </w:tc>
        <w:tc>
          <w:tcPr>
            <w:tcW w:type="dxa" w:w="3322"/>
          </w:tcPr>
          <w:p>
            <w:pPr>
              <w:pStyle w:val="null3"/>
            </w:pPr>
            <w:r>
              <w:rPr>
                <w:rFonts w:ascii="仿宋_GB2312" w:hAnsi="仿宋_GB2312" w:cs="仿宋_GB2312" w:eastAsia="仿宋_GB2312"/>
              </w:rPr>
              <w:t>法定代表人直接参与采购的须提供法定代表人身份证明书及法定代表人身份证复印件；授权人参与采购的须提供法定代表人授权委托书及法定代表人身份证复印件及被授权人身份证复印件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在①“信用中国”（www.creditchina.gov.cn）网站上未被列入政府采购严重违法失信行为记录名单、重大税收违法失信主体；②“中国执行信息公开网”（http://zxgk.court.gov.cn/shixin/）网站上未被列入失信被执行人名单；③“中国政府采购网（www.ccgp.gov.cn）”上未被列入政府采购严重违法失信行为记录名单（以采购代理机构现场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本项目不接受联合体磋商，单位负责人为同一人或者存在控股、管理关系的不同投标单位，不得同时参加本项目投标活动</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本项目不接受联合体磋商，单位负责人为同一人或者存在控股、管理关系的不同投标单位，不得同时参加本项目投标活动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响应文件上法定代表人或其授权代表人的签字齐全或加盖单位公章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根据《关于推动解决政府采购异常低价问题的通知》财库〔2026〕2号，本项目政府采购评审中出现下列情形之一的，评审委员会应当启动异常低价投标（响应）审查程序</w:t>
            </w:r>
          </w:p>
        </w:tc>
        <w:tc>
          <w:tcPr>
            <w:tcW w:type="dxa" w:w="3322"/>
          </w:tcPr>
          <w:p>
            <w:pPr>
              <w:pStyle w:val="null3"/>
            </w:pPr>
            <w:r>
              <w:rPr>
                <w:rFonts w:ascii="仿宋_GB2312" w:hAnsi="仿宋_GB2312" w:cs="仿宋_GB2312" w:eastAsia="仿宋_GB2312"/>
              </w:rPr>
              <w:t>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响应文件封面 商务应答表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项目理解、总体思路</w:t>
            </w:r>
          </w:p>
        </w:tc>
        <w:tc>
          <w:tcPr>
            <w:tcW w:type="dxa" w:w="2492"/>
          </w:tcPr>
          <w:p>
            <w:pPr>
              <w:pStyle w:val="null3"/>
            </w:pPr>
            <w:r>
              <w:rPr>
                <w:rFonts w:ascii="仿宋_GB2312" w:hAnsi="仿宋_GB2312" w:cs="仿宋_GB2312" w:eastAsia="仿宋_GB2312"/>
              </w:rPr>
              <w:t>①针对本项目情况分析认识切合实际、合理，预评估工作思路清晰，方案详细，精准研判区域的建筑类型、人口分布、地质隐患点等重点难点情形，贴合国家与地方相关应急管理要求的得10分； ②针对本项目情况分析认识切合实际、合理，评估思路清晰，可满足常规灾损预评估工作的得7分； ③针对本项目情况理解浅显、针对性弱，灾损研判逻辑性差得5分。 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①能够按时完成项目各项任务，且项目进度计划符合实际、科学完整，保证措施严谨、周密的得10分； ②能够按时完成各项任务，但进度计划安排存在局部不足，保证措施有缺漏，基本可行的得7分； ③能够按时完成各项任务，但进度计划安排不符合实际要求，存在较大的缺陷，可行性差的得5分； 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 措施</w:t>
            </w:r>
          </w:p>
        </w:tc>
        <w:tc>
          <w:tcPr>
            <w:tcW w:type="dxa" w:w="2492"/>
          </w:tcPr>
          <w:p>
            <w:pPr>
              <w:pStyle w:val="null3"/>
            </w:pPr>
            <w:r>
              <w:rPr>
                <w:rFonts w:ascii="仿宋_GB2312" w:hAnsi="仿宋_GB2312" w:cs="仿宋_GB2312" w:eastAsia="仿宋_GB2312"/>
              </w:rPr>
              <w:t>供应商针对本项目提供质量保证措施，内容包括但不限于①项目质量保障措施；②项目质量控制措施。 ①内容描述详细齐全、切实可行符合项目实际内容得10分； ②方案内容描述较详细，切实可行符合项目实际内容得7分； ③方案内容描述简单，条理性差、与项目实际情况切合性较差得5分； 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重点、难点实施方案</w:t>
            </w:r>
          </w:p>
        </w:tc>
        <w:tc>
          <w:tcPr>
            <w:tcW w:type="dxa" w:w="2492"/>
          </w:tcPr>
          <w:p>
            <w:pPr>
              <w:pStyle w:val="null3"/>
            </w:pPr>
            <w:r>
              <w:rPr>
                <w:rFonts w:ascii="仿宋_GB2312" w:hAnsi="仿宋_GB2312" w:cs="仿宋_GB2312" w:eastAsia="仿宋_GB2312"/>
              </w:rPr>
              <w:t>①供应商针对本项目重点、难点区域高精度基础数据获取、易损性模型构建、设定地震精细化评估、次生灾害与应急能力评估方案科学、合理、分析透彻且可行性强得9分； ②供应商针对本项目重点、难点区域高精度基础数据获取、易损性模型构建、设定地震精细化评估、次生灾害与应急能力评估方案科学、合理，但可行性较差的得7分； ③供应商针对本项目重点、难点区域工作环节把握不清，实施方案内容简单、可行性较差的得5分； 未提供相关内容的不得分。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设备配备投入情况</w:t>
            </w:r>
          </w:p>
        </w:tc>
        <w:tc>
          <w:tcPr>
            <w:tcW w:type="dxa" w:w="2492"/>
          </w:tcPr>
          <w:p>
            <w:pPr>
              <w:pStyle w:val="null3"/>
            </w:pPr>
            <w:r>
              <w:rPr>
                <w:rFonts w:ascii="仿宋_GB2312" w:hAnsi="仿宋_GB2312" w:cs="仿宋_GB2312" w:eastAsia="仿宋_GB2312"/>
              </w:rPr>
              <w:t>针对本项目评估工作中拟投入的所需仪器设备进行赋分 ①仪器设备配备完全满足采购人要求且附有设备的相关证明材料齐全得5分； ②仪器设备配备可以基本满足采购人要求、所附设备相关证明材料简单得3分； 相关证明材料包括但不限于：设备实物照片、设备发票等。 未提供相关内容的不得分。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拟派项目 团队人员</w:t>
            </w:r>
          </w:p>
        </w:tc>
        <w:tc>
          <w:tcPr>
            <w:tcW w:type="dxa" w:w="2492"/>
          </w:tcPr>
          <w:p>
            <w:pPr>
              <w:pStyle w:val="null3"/>
            </w:pPr>
            <w:r>
              <w:rPr>
                <w:rFonts w:ascii="仿宋_GB2312" w:hAnsi="仿宋_GB2312" w:cs="仿宋_GB2312" w:eastAsia="仿宋_GB2312"/>
              </w:rPr>
              <w:t>①供应商针对本项目拟派团队人员组成情况（包括不限于人员履历简介、承担过项目介绍、在职证明等相关证明材料），人员分工明确且配备充足，有同类项目客户服务经验，完全满足本项目采购需求，得8分； ②拟派团队人员分工相对明确且配备基本充足、基本满足本项目采购需求的得6分； ③拟派团队人员分工不明、人员配备不充足、所提供的人员相关证明材料欠缺的得4分； 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①拟派项目负责人具有丰富的工作经验（包括不限于人员履历简介、承担过项目介绍、获奖证书等相关证明材料），能够带领及引导团对人员顺利完成项目，并达到采购人要求，项目负责人职业经历丰富，符合采购人需求，得4分； ②项目负责人职业经历欠缺、所提供的相关证明材料欠缺的得2分； 未提供相关内容的不得分。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资料档案管理措施方案</w:t>
            </w:r>
          </w:p>
        </w:tc>
        <w:tc>
          <w:tcPr>
            <w:tcW w:type="dxa" w:w="2492"/>
          </w:tcPr>
          <w:p>
            <w:pPr>
              <w:pStyle w:val="null3"/>
            </w:pPr>
            <w:r>
              <w:rPr>
                <w:rFonts w:ascii="仿宋_GB2312" w:hAnsi="仿宋_GB2312" w:cs="仿宋_GB2312" w:eastAsia="仿宋_GB2312"/>
              </w:rPr>
              <w:t>针对调研报告等资料档案的管理措施提供方案内容包括但不限于：①管理人员职责；②资料档案管理制度；③资料档案的保管和移交措施。 ①方案内容描述详细齐全，资料档案管理措施切实可行且符合项目实际内容得8分； ②方案内容描述较详细，资料档案管理措施基本满足项目实际情况得6分； ③方案内容描述简单，资料档案管理能力较差得4分；未提供相关内容的不得分。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①针对本项目具有科学、合理且详细的保密管理措施、制度得6分； ②保密管理制度条理性较差，方案描述较为简单得4分； ③保密措施只有框架，无实质性内容的得2分； 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①提供针对本项目的合理化建议，内容可行、合理，得4分； ②内容较可行、较合理计，得2分； 未提供相关内容的不得分。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针对本项目服务质量及服务周期提供服务承诺；承诺内容每项得2.5分，共计5分。 未提供相关内容的不得分。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供应商提供2023年1月1日至今类似项目业绩(以合同签订日期为准)，每提供1个得3分，最高得6分。 备注：须提供业绩合同复印件并加盖公章。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价格分统一采用低价优先法计算，即满足磋商文件要求且报价最低的为评审基准价，其价格分为满分。其他供应商的价格分统一按照下列公式计算： 报价得分=(评审基准价／总报价)×15，计算分数时四舍五入取小数点后两位。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详见附件：详细评审.docx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