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版本号：YSY2025-CG-02920251215001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镇巴县2025年农村公路危桥改造工程（方家沟桥）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YSY2025-CG-029</w:t>
      </w:r>
      <w:r>
        <w:br/>
      </w:r>
      <w:r>
        <w:br/>
      </w:r>
      <w:r>
        <w:br/>
      </w:r>
    </w:p>
    <w:p>
      <w:pPr>
        <w:pStyle w:val="null3"/>
        <w:jc w:val="center"/>
        <w:outlineLvl w:val="2"/>
      </w:pPr>
      <w:r>
        <w:rPr>
          <w:rFonts w:ascii="仿宋_GB2312" w:hAnsi="仿宋_GB2312" w:cs="仿宋_GB2312" w:eastAsia="仿宋_GB2312"/>
          <w:sz w:val="28"/>
          <w:b/>
        </w:rPr>
        <w:t>镇巴县交通运输局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镇巴县交通运输局</w:t>
      </w:r>
      <w:r>
        <w:rPr>
          <w:rFonts w:ascii="仿宋_GB2312" w:hAnsi="仿宋_GB2312" w:cs="仿宋_GB2312" w:eastAsia="仿宋_GB2312"/>
        </w:rPr>
        <w:t>委托，拟对</w:t>
      </w:r>
      <w:r>
        <w:rPr>
          <w:rFonts w:ascii="仿宋_GB2312" w:hAnsi="仿宋_GB2312" w:cs="仿宋_GB2312" w:eastAsia="仿宋_GB2312"/>
        </w:rPr>
        <w:t>镇巴县2025年农村公路危桥改造工程（方家沟桥）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镇巴县2025年农村公路危桥改造工程（方家沟桥）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 X204线路上，桥梁全长66.02米，按照三级公路标准建设，设计速度30km/h，桥梁上部为3×20米装配式预应力混凝土空心板桥，桥梁全宽9米=净8+2×0.5米（防撞护栏）；下部结构桥台采柱式结构，钻孔灌注桩基础；桥墩采用柱式墩，钻孔灌注桩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采购包1（镇巴县2025年农村公路危桥改造工程（方家沟桥））：属于专门面向中小企业采购。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镇巴县新街34号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18991606499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陕西省汉中市汉台区陕西省汉中市汉台区东一环与风景路交汇处中饮办公中心C区-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采购包1：1,931,963.39元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1,931,963.39</w:t>
      </w:r>
    </w:p>
    <w:p>
      <w:pPr>
        <w:pStyle w:val="null3"/>
      </w:pPr>
      <w:r>
        <w:rPr>
          <w:rFonts w:ascii="仿宋_GB2312" w:hAnsi="仿宋_GB2312" w:cs="仿宋_GB2312" w:eastAsia="仿宋_GB2312"/>
        </w:rPr>
        <w:t>采购包最高限价（元）: 1,931,963.39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镇巴县2025年农村公路危桥改造工程（方家沟桥）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1,931,963.39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标的名称：镇巴县2025年农村公路危桥改造工程（方家沟桥）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一、工程</w:t>
            </w:r>
            <w:r>
              <w:rPr>
                <w:rFonts w:ascii="仿宋_GB2312" w:hAnsi="仿宋_GB2312" w:cs="仿宋_GB2312" w:eastAsia="仿宋_GB2312"/>
                <w:sz w:val="21"/>
                <w:b/>
              </w:rPr>
              <w:t>概况：</w:t>
            </w:r>
          </w:p>
          <w:p>
            <w:pPr>
              <w:pStyle w:val="null3"/>
              <w:ind w:firstLine="560"/>
              <w:jc w:val="both"/>
            </w:pP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2025年农村公路危桥改造工程（方家沟桥），</w:t>
            </w:r>
            <w:r>
              <w:rPr>
                <w:rFonts w:ascii="仿宋_GB2312" w:hAnsi="仿宋_GB2312" w:cs="仿宋_GB2312" w:eastAsia="仿宋_GB2312"/>
                <w:sz w:val="21"/>
              </w:rPr>
              <w:t>本项目</w:t>
            </w:r>
            <w:r>
              <w:rPr>
                <w:rFonts w:ascii="仿宋_GB2312" w:hAnsi="仿宋_GB2312" w:cs="仿宋_GB2312" w:eastAsia="仿宋_GB2312"/>
                <w:sz w:val="21"/>
              </w:rPr>
              <w:t>位于镇巴县兴隆镇，该项目位于</w:t>
            </w:r>
            <w:r>
              <w:rPr>
                <w:rFonts w:ascii="仿宋_GB2312" w:hAnsi="仿宋_GB2312" w:cs="仿宋_GB2312" w:eastAsia="仿宋_GB2312"/>
                <w:sz w:val="21"/>
              </w:rPr>
              <w:t>X204线路上，桥梁全长66.02米，按照三级公路标准建设，设计速度30km/h，桥梁上部为3×20米装配式预应力混凝土空心板桥，桥梁全宽9米=净8+2×0.5米（防撞护栏）；下部结构桥台采柱式结构，钻孔灌注桩基础；桥墩采用柱式墩，钻孔灌注桩基础。</w:t>
            </w:r>
          </w:p>
          <w:p>
            <w:pPr>
              <w:pStyle w:val="null3"/>
              <w:jc w:val="both"/>
            </w:pPr>
            <w:r>
              <w:rPr>
                <w:rFonts w:ascii="仿宋_GB2312" w:hAnsi="仿宋_GB2312" w:cs="仿宋_GB2312" w:eastAsia="仿宋_GB2312"/>
                <w:sz w:val="21"/>
                <w:b/>
              </w:rPr>
              <w:t>二、编制范围：</w:t>
            </w:r>
          </w:p>
          <w:p>
            <w:pPr>
              <w:pStyle w:val="null3"/>
              <w:ind w:firstLine="420"/>
              <w:jc w:val="both"/>
            </w:pPr>
            <w:r>
              <w:rPr>
                <w:rFonts w:ascii="仿宋_GB2312" w:hAnsi="仿宋_GB2312" w:cs="仿宋_GB2312" w:eastAsia="仿宋_GB2312"/>
                <w:sz w:val="21"/>
              </w:rPr>
              <w:t>详见工程量清单。</w:t>
            </w:r>
          </w:p>
          <w:p>
            <w:pPr>
              <w:pStyle w:val="null3"/>
              <w:jc w:val="both"/>
            </w:pPr>
            <w:r>
              <w:rPr>
                <w:rFonts w:ascii="仿宋_GB2312" w:hAnsi="仿宋_GB2312" w:cs="仿宋_GB2312" w:eastAsia="仿宋_GB2312"/>
                <w:sz w:val="21"/>
                <w:b/>
              </w:rPr>
              <w:t>三、编制依据：</w:t>
            </w:r>
          </w:p>
          <w:p>
            <w:pPr>
              <w:pStyle w:val="null3"/>
              <w:ind w:firstLine="420"/>
              <w:jc w:val="both"/>
            </w:pPr>
            <w:r>
              <w:rPr>
                <w:rFonts w:ascii="仿宋_GB2312" w:hAnsi="仿宋_GB2312" w:cs="仿宋_GB2312" w:eastAsia="仿宋_GB2312"/>
                <w:sz w:val="21"/>
              </w:rPr>
              <w:t>1、由</w:t>
            </w:r>
            <w:r>
              <w:rPr>
                <w:rFonts w:ascii="仿宋_GB2312" w:hAnsi="仿宋_GB2312" w:cs="仿宋_GB2312" w:eastAsia="仿宋_GB2312"/>
                <w:sz w:val="21"/>
              </w:rPr>
              <w:t>恒万达设计咨询有限公司</w:t>
            </w:r>
            <w:r>
              <w:rPr>
                <w:rFonts w:ascii="仿宋_GB2312" w:hAnsi="仿宋_GB2312" w:cs="仿宋_GB2312" w:eastAsia="仿宋_GB2312"/>
                <w:sz w:val="21"/>
              </w:rPr>
              <w:t>设计</w:t>
            </w:r>
            <w:r>
              <w:rPr>
                <w:rFonts w:ascii="仿宋_GB2312" w:hAnsi="仿宋_GB2312" w:cs="仿宋_GB2312" w:eastAsia="仿宋_GB2312"/>
                <w:sz w:val="21"/>
              </w:rPr>
              <w:t>的</w:t>
            </w: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2025年农村公路危桥改造工程（方家沟桥）</w:t>
            </w:r>
            <w:r>
              <w:rPr>
                <w:rFonts w:ascii="仿宋_GB2312" w:hAnsi="仿宋_GB2312" w:cs="仿宋_GB2312" w:eastAsia="仿宋_GB2312"/>
                <w:sz w:val="21"/>
              </w:rPr>
              <w:t>施工图纸；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《公路工程基本建设项目概算预算编制办法》（</w:t>
            </w:r>
            <w:r>
              <w:rPr>
                <w:rFonts w:ascii="仿宋_GB2312" w:hAnsi="仿宋_GB2312" w:cs="仿宋_GB2312" w:eastAsia="仿宋_GB2312"/>
                <w:sz w:val="21"/>
              </w:rPr>
              <w:t>JTG3830—2018）；</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《公路工程预算定额》（</w:t>
            </w:r>
            <w:r>
              <w:rPr>
                <w:rFonts w:ascii="仿宋_GB2312" w:hAnsi="仿宋_GB2312" w:cs="仿宋_GB2312" w:eastAsia="仿宋_GB2312"/>
                <w:sz w:val="21"/>
              </w:rPr>
              <w:t>JTG/T3832—2018）和《公路工程机械台班费用定额》（JTG/T3833—2018）；</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陕西省交通运输厅关于执行交通运输部《公路工程营业税改增值税计价依据调整方案》的通知（陕交函〔</w:t>
            </w:r>
            <w:r>
              <w:rPr>
                <w:rFonts w:ascii="仿宋_GB2312" w:hAnsi="仿宋_GB2312" w:cs="仿宋_GB2312" w:eastAsia="仿宋_GB2312"/>
                <w:sz w:val="21"/>
              </w:rPr>
              <w:t>2016〕475号）及交通运输部公告（第26号）关于调整《公路工程建设项目投资估算编制办法》（JTG3820-2018）和《公路工程建设项目概算预算编制办法》（JTG3830-2018）中“税金”有关公告；</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、交通运输部颁布的《公路工程标准施工招标文件》（</w:t>
            </w:r>
            <w:r>
              <w:rPr>
                <w:rFonts w:ascii="仿宋_GB2312" w:hAnsi="仿宋_GB2312" w:cs="仿宋_GB2312" w:eastAsia="仿宋_GB2312"/>
                <w:sz w:val="21"/>
              </w:rPr>
              <w:t>20</w:t>
            </w:r>
            <w:r>
              <w:rPr>
                <w:rFonts w:ascii="仿宋_GB2312" w:hAnsi="仿宋_GB2312" w:cs="仿宋_GB2312" w:eastAsia="仿宋_GB2312"/>
                <w:sz w:val="21"/>
              </w:rPr>
              <w:t>18年版）；</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陕西省交通运输厅关于《公路工程基本建设项目概算预算编制办法》补充规定的通知陕交发（</w:t>
            </w:r>
            <w:r>
              <w:rPr>
                <w:rFonts w:ascii="仿宋_GB2312" w:hAnsi="仿宋_GB2312" w:cs="仿宋_GB2312" w:eastAsia="仿宋_GB2312"/>
                <w:sz w:val="21"/>
              </w:rPr>
              <w:t>2019）93号文件；</w:t>
            </w:r>
          </w:p>
          <w:p>
            <w:pPr>
              <w:pStyle w:val="null3"/>
              <w:ind w:firstLine="420"/>
              <w:jc w:val="both"/>
            </w:pPr>
            <w:r>
              <w:rPr>
                <w:rFonts w:ascii="仿宋_GB2312" w:hAnsi="仿宋_GB2312" w:cs="仿宋_GB2312" w:eastAsia="仿宋_GB2312"/>
                <w:sz w:val="21"/>
              </w:rPr>
              <w:t>7、陕西省交通运输工程造价事务中心《关于印发陕西省公路主要参考运杂</w:t>
            </w:r>
          </w:p>
          <w:p>
            <w:pPr>
              <w:pStyle w:val="null3"/>
              <w:jc w:val="both"/>
            </w:pPr>
            <w:r>
              <w:rPr>
                <w:rFonts w:ascii="仿宋_GB2312" w:hAnsi="仿宋_GB2312" w:cs="仿宋_GB2312" w:eastAsia="仿宋_GB2312"/>
                <w:sz w:val="21"/>
              </w:rPr>
              <w:t>费参考标准的通知》。</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取费情况</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1、人工单价：按105.89元/工日计取；</w:t>
            </w:r>
          </w:p>
          <w:p>
            <w:pPr>
              <w:pStyle w:val="null3"/>
              <w:ind w:firstLine="420"/>
              <w:jc w:val="both"/>
            </w:pPr>
            <w:r>
              <w:rPr>
                <w:rFonts w:ascii="仿宋_GB2312" w:hAnsi="仿宋_GB2312" w:cs="仿宋_GB2312" w:eastAsia="仿宋_GB2312"/>
                <w:sz w:val="21"/>
              </w:rPr>
              <w:t>2、措施费</w:t>
            </w:r>
            <w:r>
              <w:rPr>
                <w:rFonts w:ascii="仿宋_GB2312" w:hAnsi="仿宋_GB2312" w:cs="仿宋_GB2312" w:eastAsia="仿宋_GB2312"/>
                <w:sz w:val="21"/>
              </w:rPr>
              <w:t>：</w:t>
            </w:r>
            <w:r>
              <w:rPr>
                <w:rFonts w:ascii="仿宋_GB2312" w:hAnsi="仿宋_GB2312" w:cs="仿宋_GB2312" w:eastAsia="仿宋_GB2312"/>
                <w:sz w:val="21"/>
              </w:rPr>
              <w:t>按规定计取冬季、雨季、夜间施工费；高原、风沙、沿海施工、行车干扰费、工地转移费不计</w:t>
            </w:r>
            <w:r>
              <w:rPr>
                <w:rFonts w:ascii="仿宋_GB2312" w:hAnsi="仿宋_GB2312" w:cs="仿宋_GB2312" w:eastAsia="仿宋_GB2312"/>
                <w:sz w:val="21"/>
              </w:rPr>
              <w:t>取，</w:t>
            </w:r>
            <w:r>
              <w:rPr>
                <w:rFonts w:ascii="仿宋_GB2312" w:hAnsi="仿宋_GB2312" w:cs="仿宋_GB2312" w:eastAsia="仿宋_GB2312"/>
                <w:sz w:val="21"/>
              </w:rPr>
              <w:t>施工辅助计取；</w:t>
            </w:r>
          </w:p>
          <w:p>
            <w:pPr>
              <w:pStyle w:val="null3"/>
              <w:ind w:firstLine="420"/>
              <w:jc w:val="both"/>
            </w:pPr>
            <w:r>
              <w:rPr>
                <w:rFonts w:ascii="仿宋_GB2312" w:hAnsi="仿宋_GB2312" w:cs="仿宋_GB2312" w:eastAsia="仿宋_GB2312"/>
                <w:sz w:val="21"/>
              </w:rPr>
              <w:t>3、企业管理费：基本费用计取，综合里程、职工探亲、职工取暖、财务费用、辅助生产不计取，利润计取；</w:t>
            </w:r>
          </w:p>
          <w:p>
            <w:pPr>
              <w:pStyle w:val="null3"/>
              <w:ind w:firstLine="420"/>
              <w:jc w:val="both"/>
            </w:pPr>
            <w:r>
              <w:rPr>
                <w:rFonts w:ascii="仿宋_GB2312" w:hAnsi="仿宋_GB2312" w:cs="仿宋_GB2312" w:eastAsia="仿宋_GB2312"/>
                <w:sz w:val="21"/>
              </w:rPr>
              <w:t>4、规费</w:t>
            </w:r>
            <w:r>
              <w:rPr>
                <w:rFonts w:ascii="仿宋_GB2312" w:hAnsi="仿宋_GB2312" w:cs="仿宋_GB2312" w:eastAsia="仿宋_GB2312"/>
                <w:sz w:val="21"/>
              </w:rPr>
              <w:t>：</w:t>
            </w:r>
            <w:r>
              <w:rPr>
                <w:rFonts w:ascii="仿宋_GB2312" w:hAnsi="仿宋_GB2312" w:cs="仿宋_GB2312" w:eastAsia="仿宋_GB2312"/>
                <w:sz w:val="21"/>
              </w:rPr>
              <w:t>按陕西省有关规定为人工费的</w:t>
            </w:r>
            <w:r>
              <w:rPr>
                <w:rFonts w:ascii="仿宋_GB2312" w:hAnsi="仿宋_GB2312" w:cs="仿宋_GB2312" w:eastAsia="仿宋_GB2312"/>
                <w:sz w:val="21"/>
              </w:rPr>
              <w:t>33.36%；</w:t>
            </w:r>
          </w:p>
          <w:p>
            <w:pPr>
              <w:pStyle w:val="null3"/>
              <w:ind w:firstLine="420"/>
              <w:jc w:val="both"/>
            </w:pPr>
            <w:r>
              <w:rPr>
                <w:rFonts w:ascii="仿宋_GB2312" w:hAnsi="仿宋_GB2312" w:cs="仿宋_GB2312" w:eastAsia="仿宋_GB2312"/>
                <w:sz w:val="21"/>
              </w:rPr>
              <w:t>5、工程一切险为</w:t>
            </w:r>
            <w:r>
              <w:rPr>
                <w:rFonts w:ascii="仿宋_GB2312" w:hAnsi="仿宋_GB2312" w:cs="仿宋_GB2312" w:eastAsia="仿宋_GB2312"/>
                <w:sz w:val="21"/>
              </w:rPr>
              <w:t>100章-700章之和（不含一切险和第三者责任险）的0.3%</w:t>
            </w:r>
            <w:r>
              <w:rPr>
                <w:rFonts w:ascii="仿宋_GB2312" w:hAnsi="仿宋_GB2312" w:cs="仿宋_GB2312" w:eastAsia="仿宋_GB2312"/>
                <w:sz w:val="21"/>
              </w:rPr>
              <w:t>，第三责任险为</w:t>
            </w:r>
            <w:r>
              <w:rPr>
                <w:rFonts w:ascii="仿宋_GB2312" w:hAnsi="仿宋_GB2312" w:cs="仿宋_GB2312" w:eastAsia="仿宋_GB2312"/>
                <w:sz w:val="21"/>
              </w:rPr>
              <w:t>100章-700章之和（不含一切险和第三者责任险）的0.1%，安全生产费为招标公示最高限价的1.5%；</w:t>
            </w:r>
          </w:p>
          <w:p>
            <w:pPr>
              <w:pStyle w:val="null3"/>
              <w:ind w:firstLine="420"/>
              <w:jc w:val="both"/>
            </w:pPr>
            <w:r>
              <w:rPr>
                <w:rFonts w:ascii="仿宋_GB2312" w:hAnsi="仿宋_GB2312" w:cs="仿宋_GB2312" w:eastAsia="仿宋_GB2312"/>
                <w:sz w:val="21"/>
              </w:rPr>
              <w:t>6、利润率7.42%，税率9%。</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公路桥梁行业技术规范标准。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1、工期：240天；2、质量：合格。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已标价工程量清单 中小企业声明函 供应商承诺书.docx 响应文件封面 供应商应提交的相关资格证明材料.docx 技术响应方案.docx 拟投入本项目人员配置情况表.docx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供应商对该项目实施的重点、难点进行分析，对易发生质量通病、易出现安全问题、施工难度大、技术含量高的部分进行说明并给出施工保障措施和专项技术方案（含主要施工方法、组织措施等）。 ①．方案较详实，能贴合实际情况及技术标准，实用性一般，得 1-3 分； ②．方案较详实，贴合现场情况及施工标准，实用性较强，得 3.1-5 分； ③.方案详实，贴合现场情况及施工标准，实用性强，得 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工程质量保证体系及措施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5.1-7 分；此项未提供不得分。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结合项目区域的特点，评审文明施工方案： ① .措施比较合理，对施工扬尘、噪音控制有基本安排，针对性和实施性一般，得 1-3 分； ② .措施有针对性，作业时间管控等合理且可实施性强，得 3.1-6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 ②.措施有针对性、合理、可实施性强得3.1-6分；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4.1-6分；项目部组成基本合理、人员表配置基本齐全，具有人员配置清单，有一定的针对性，能够满足项目需求，得2.1-4.0分；项目部组成人员缺乏科学合理性，无人员配置清单，无法满足项目需求，得1.0-2.0分；未提供项目部组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