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版本号：ZSJC-ZFCG-2025122220260115002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镇巴人民医院1号楼牙科及妇产科部分用房改造项目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ZSJC-ZFCG-20251222</w:t>
      </w:r>
      <w:r>
        <w:br/>
      </w:r>
      <w:r>
        <w:br/>
      </w:r>
      <w:r>
        <w:br/>
      </w:r>
    </w:p>
    <w:p>
      <w:pPr>
        <w:pStyle w:val="null3"/>
        <w:jc w:val="center"/>
        <w:outlineLvl w:val="2"/>
      </w:pPr>
      <w:r>
        <w:rPr>
          <w:rFonts w:ascii="仿宋_GB2312" w:hAnsi="仿宋_GB2312" w:cs="仿宋_GB2312" w:eastAsia="仿宋_GB2312"/>
          <w:sz w:val="28"/>
          <w:b/>
        </w:rPr>
        <w:t>镇巴县人民医院</w:t>
      </w:r>
    </w:p>
    <w:p>
      <w:pPr>
        <w:pStyle w:val="null3"/>
        <w:jc w:val="center"/>
        <w:outlineLvl w:val="2"/>
      </w:pPr>
      <w:r>
        <w:rPr>
          <w:rFonts w:ascii="仿宋_GB2312" w:hAnsi="仿宋_GB2312" w:cs="仿宋_GB2312" w:eastAsia="仿宋_GB2312"/>
          <w:sz w:val="28"/>
          <w:b/>
        </w:rPr>
        <w:t>中盛精诚工程项目管理有限公司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中盛精诚工程项目管理有限公司</w:t>
      </w:r>
      <w:r>
        <w:rPr>
          <w:rFonts w:ascii="仿宋_GB2312" w:hAnsi="仿宋_GB2312" w:cs="仿宋_GB2312" w:eastAsia="仿宋_GB2312"/>
        </w:rPr>
        <w:t>（以下简称“代理机构”）受</w:t>
      </w:r>
      <w:r>
        <w:rPr>
          <w:rFonts w:ascii="仿宋_GB2312" w:hAnsi="仿宋_GB2312" w:cs="仿宋_GB2312" w:eastAsia="仿宋_GB2312"/>
        </w:rPr>
        <w:t>镇巴县人民医院</w:t>
      </w:r>
      <w:r>
        <w:rPr>
          <w:rFonts w:ascii="仿宋_GB2312" w:hAnsi="仿宋_GB2312" w:cs="仿宋_GB2312" w:eastAsia="仿宋_GB2312"/>
        </w:rPr>
        <w:t>委托，拟对</w:t>
      </w:r>
      <w:r>
        <w:rPr>
          <w:rFonts w:ascii="仿宋_GB2312" w:hAnsi="仿宋_GB2312" w:cs="仿宋_GB2312" w:eastAsia="仿宋_GB2312"/>
        </w:rPr>
        <w:t>镇巴人民医院1号楼牙科及妇产科部分用房改造项目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ZSJC-ZFCG-20251222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镇巴人民医院1号楼牙科及妇产科部分用房改造项目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改造3层牙科400m2和7层妇产科 530m2，总改建面积 930m2。对墙面、地面、吊顶、水电气及设施设备等进行维修改造。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采购包1（镇巴县人民医院1号楼牙科及妇产科部分用房改造项目）：属于专门面向中小企业采购。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或授权委托人身份证明：供应商应授权合法的在职人员参加投标，其中法定代表人直接参加的，须出具法定代表人身份证原件，并与营业执照上信息一致；授权代表参加的，须出具法定代表人授权书及被授权人身份证原件；</w:t>
      </w:r>
    </w:p>
    <w:p>
      <w:pPr>
        <w:pStyle w:val="null3"/>
      </w:pPr>
      <w:r>
        <w:rPr>
          <w:rFonts w:ascii="仿宋_GB2312" w:hAnsi="仿宋_GB2312" w:cs="仿宋_GB2312" w:eastAsia="仿宋_GB2312"/>
        </w:rPr>
        <w:t>3、供应商资格条件：供应商具有建筑工程施工总承包三级或建筑装修装饰工程专业承包二级及以上资质，具有有效的安全生产许可证；</w:t>
      </w:r>
    </w:p>
    <w:p>
      <w:pPr>
        <w:pStyle w:val="null3"/>
      </w:pPr>
      <w:r>
        <w:rPr>
          <w:rFonts w:ascii="仿宋_GB2312" w:hAnsi="仿宋_GB2312" w:cs="仿宋_GB2312" w:eastAsia="仿宋_GB2312"/>
        </w:rPr>
        <w:t>4、拟派项目负责人资格要求：拟派项目经理须具有建筑工程专业注册建造师二级（含二级）及以上执业资格和安全生产考核合格B证，在本单位注册且无在建项目；</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13891699260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中盛精诚工程项目管理有限公司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镇巴县水土保持工作站对面二楼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程胜建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13992659725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采购包1：945,176.28元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857号）、《国家发展改革委关于降低部分建设项目收费标准规范收费行为等有关问题的通知》（发改价格[2011]534号）的有关规定;经甲乙双方协商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镇巴县人民医院</w:t>
      </w:r>
      <w:r>
        <w:rPr>
          <w:rFonts w:ascii="仿宋_GB2312" w:hAnsi="仿宋_GB2312" w:cs="仿宋_GB2312" w:eastAsia="仿宋_GB2312"/>
        </w:rPr>
        <w:t>和</w:t>
      </w:r>
      <w:r>
        <w:rPr>
          <w:rFonts w:ascii="仿宋_GB2312" w:hAnsi="仿宋_GB2312" w:cs="仿宋_GB2312" w:eastAsia="仿宋_GB2312"/>
        </w:rPr>
        <w:t>中盛精诚工程项目管理有限公司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中盛精诚工程项目管理有限公司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中盛精诚工程项目管理有限公司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中盛精诚工程项目管理有限公司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联系人：程胜建</w:t>
      </w:r>
    </w:p>
    <w:p>
      <w:pPr>
        <w:pStyle w:val="null3"/>
      </w:pPr>
      <w:r>
        <w:rPr>
          <w:rFonts w:ascii="仿宋_GB2312" w:hAnsi="仿宋_GB2312" w:cs="仿宋_GB2312" w:eastAsia="仿宋_GB2312"/>
        </w:rPr>
        <w:t>联系电话：13992659725</w:t>
      </w:r>
    </w:p>
    <w:p>
      <w:pPr>
        <w:pStyle w:val="null3"/>
      </w:pPr>
      <w:r>
        <w:rPr>
          <w:rFonts w:ascii="仿宋_GB2312" w:hAnsi="仿宋_GB2312" w:cs="仿宋_GB2312" w:eastAsia="仿宋_GB2312"/>
        </w:rPr>
        <w:t>地址：镇巴县水土保持工作站对面二楼</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945,176.28</w:t>
      </w:r>
    </w:p>
    <w:p>
      <w:pPr>
        <w:pStyle w:val="null3"/>
      </w:pPr>
      <w:r>
        <w:rPr>
          <w:rFonts w:ascii="仿宋_GB2312" w:hAnsi="仿宋_GB2312" w:cs="仿宋_GB2312" w:eastAsia="仿宋_GB2312"/>
        </w:rPr>
        <w:t>采购包最高限价（元）: 945,176.28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用房改造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945,176.28</w:t>
            </w:r>
          </w:p>
        </w:tc>
        <w:tc>
          <w:tcPr>
            <w:tcW w:type="dxa" w:w="1384"/>
          </w:tcPr>
          <w:p>
            <w:pPr>
              <w:pStyle w:val="null3"/>
            </w:pPr>
            <w:r>
              <w:rPr>
                <w:rFonts w:ascii="仿宋_GB2312" w:hAnsi="仿宋_GB2312" w:cs="仿宋_GB2312" w:eastAsia="仿宋_GB2312"/>
              </w:rPr>
              <w:t>次</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标的名称：用房改造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1.工期：60日历天</w:t>
            </w:r>
          </w:p>
          <w:p>
            <w:pPr>
              <w:pStyle w:val="null3"/>
            </w:pPr>
            <w:r>
              <w:rPr>
                <w:rFonts w:ascii="仿宋_GB2312" w:hAnsi="仿宋_GB2312" w:cs="仿宋_GB2312" w:eastAsia="仿宋_GB2312"/>
              </w:rPr>
              <w:t>2.质量目标：合格</w:t>
            </w:r>
          </w:p>
          <w:p>
            <w:pPr>
              <w:pStyle w:val="null3"/>
            </w:pPr>
            <w:r>
              <w:rPr>
                <w:rFonts w:ascii="仿宋_GB2312" w:hAnsi="仿宋_GB2312" w:cs="仿宋_GB2312" w:eastAsia="仿宋_GB2312"/>
                <w:sz w:val="21"/>
              </w:rPr>
              <w:t>3.计价软件：广联达计价软件7.0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满足国家和行业现行技术规范，符合国家及行业验收合格标准，质量要求均为合格。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符合国家标准，达到验收合格要求。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合同签订后 60个日历日内竣工并交付验收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拒绝政府采购领域商业贿赂承诺</w:t>
            </w:r>
          </w:p>
        </w:tc>
        <w:tc>
          <w:tcPr>
            <w:tcW w:type="dxa" w:w="3322"/>
          </w:tcPr>
          <w:p>
            <w:pPr>
              <w:pStyle w:val="null3"/>
            </w:pPr>
            <w:r>
              <w:rPr>
                <w:rFonts w:ascii="仿宋_GB2312" w:hAnsi="仿宋_GB2312" w:cs="仿宋_GB2312" w:eastAsia="仿宋_GB2312"/>
              </w:rPr>
              <w:t>陕西省政府采购供应商拒绝政府采购领域商业贿赂承诺书</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法定代表人或授权委托人身份证明</w:t>
            </w:r>
          </w:p>
        </w:tc>
        <w:tc>
          <w:tcPr>
            <w:tcW w:type="dxa" w:w="3322"/>
          </w:tcPr>
          <w:p>
            <w:pPr>
              <w:pStyle w:val="null3"/>
            </w:pPr>
            <w:r>
              <w:rPr>
                <w:rFonts w:ascii="仿宋_GB2312" w:hAnsi="仿宋_GB2312" w:cs="仿宋_GB2312" w:eastAsia="仿宋_GB2312"/>
              </w:rPr>
              <w:t>供应商应授权合法的在职人员参加投标，其中法定代表人直接参加的，须出具法定代表人身份证原件，并与营业执照上信息一致；授权代表参加的，须出具法定代表人授权书及被授权人身份证原件；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供应商资格条件</w:t>
            </w:r>
          </w:p>
        </w:tc>
        <w:tc>
          <w:tcPr>
            <w:tcW w:type="dxa" w:w="3322"/>
          </w:tcPr>
          <w:p>
            <w:pPr>
              <w:pStyle w:val="null3"/>
            </w:pPr>
            <w:r>
              <w:rPr>
                <w:rFonts w:ascii="仿宋_GB2312" w:hAnsi="仿宋_GB2312" w:cs="仿宋_GB2312" w:eastAsia="仿宋_GB2312"/>
              </w:rPr>
              <w:t>供应商具有建筑工程施工总承包三级或建筑装修装饰工程专业承包二级及以上资质，具有有效的安全生产许可证；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拟派项目经理须具有建筑工程专业注册建造师二级（含二级）及以上执业资格和安全生产考核合格B证，在本单位注册且无在建项目；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已标价工程量清单 中小企业声明函 供应商应提交的相关资格证明材料 响应文件封面 项目管理机构组成表 技术响应方案.docx 残疾人福利性单位声明函 报价函 标的清单 供应商类似项目业绩一览表 其他材料.docx 响应函 主要人员简历表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一、根据供应商提供的本项目施工方案①施工工艺②施工方法③技术措施④是否针对本项目实施提出重点、难点并给出相应的解决方案进行综合打分，完全响应得12分 ；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一、供应商提供针对本项目的质量管理方案包含：①质量管理体系、②质量保证措施、③质量目标明确，措施科学、合理，完全响应得9分 ；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一、供应商提供针对本项目的人员配备方案，包含①项目成员配备科学规范及劳动力保障措施 ②人员组成结构及人员的服务技术能力③配备人员资质经验合理性综合评审，完全响应得9分；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一、根据供应商提供的①安全管理体系与措施②安全文明施工措施③安全教育及培训计划：完全响应得9分 ；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一、供应商提供针对本项目的工期及进度安排计划包含：①保证项目工期实施措施，②施工进度表或施工网络节点表措施，③出现特殊情况的应急预案进行综合评审：完全响应得9分；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环境保障措施</w:t>
            </w:r>
          </w:p>
        </w:tc>
        <w:tc>
          <w:tcPr>
            <w:tcW w:type="dxa" w:w="2492"/>
          </w:tcPr>
          <w:p>
            <w:pPr>
              <w:pStyle w:val="null3"/>
            </w:pPr>
            <w:r>
              <w:rPr>
                <w:rFonts w:ascii="仿宋_GB2312" w:hAnsi="仿宋_GB2312" w:cs="仿宋_GB2312" w:eastAsia="仿宋_GB2312"/>
              </w:rPr>
              <w:t>一、供应商提供针对本项目的环保方案，包含：①环境保护管理体系与措施②污染物处理及排放符合国家及地方环境保护标准响应措施；③现场扬尘预防措施进行综合评审：完全响应得9分；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一、对供应商提供的售后服务方案，包括①承诺维修响应时间②售后人员配置③工程质保承诺方案等进行综合评定：完全响应得9分 ； 二、评审标准： 1.完整性：方案必须全面，对评审内容中的各项要求有详细描述； 2.可实施性：切合本项目实际情况提出步骤清晰、合理的方案; 3.针对性：方案能够紧扣项目实际情况， 内容科学合理。 方案中每有一项内容缺失扣3分，方案内容要素中每存在一处缺陷扣0.5分，该分项分值扣完为止。 注：缺陷是指：存在项目名称错误、地点区域错误、内容与本项目需求无关、仅有框架或标题、适用的标准（方法）错误、内容错误表述前后不一致，明显复制其他项目内容等任意一种情形。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类似业绩：供应商具有近三年类似项目业绩，提供合同或成交通知书，(复印件加盖单位公章)。每提供一份得1分，不提供不得分；共计4分。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详见附件：2020版新版施工合同.docx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