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38C5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center"/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40"/>
          <w:szCs w:val="40"/>
        </w:rPr>
        <w:t>镇巴县2025年县乡公路水毁恢复重建工程（X212青古路）</w:t>
      </w:r>
    </w:p>
    <w:p w14:paraId="684D394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center"/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6"/>
          <w:szCs w:val="21"/>
        </w:rPr>
        <w:t>编　制　说　明</w:t>
      </w:r>
    </w:p>
    <w:p w14:paraId="5D0FD5ED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一、工程概况：</w:t>
      </w: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 </w:t>
      </w:r>
    </w:p>
    <w:p w14:paraId="54F4E2B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40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建设地点：镇巴县泾洋街道办与青水镇；</w:t>
      </w:r>
    </w:p>
    <w:p w14:paraId="2CBDAD5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40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建设规模及内容：泾洋街道办与青水镇X212青古路：垮方清除2830立方米，M7.5浆砌片石1505.3立方米，0r-C-4B波形护栏5632米，C-C-2E波形护栏720米，AT1-2型端头28个，AT2型端头28个等（详见工程量清单）。</w:t>
      </w:r>
    </w:p>
    <w:p w14:paraId="62EB624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二、编制范围：</w:t>
      </w:r>
    </w:p>
    <w:p w14:paraId="67B864A3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详见工程量清单。</w:t>
      </w:r>
    </w:p>
    <w:p w14:paraId="4F090BB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三、编制依据：</w:t>
      </w:r>
    </w:p>
    <w:p w14:paraId="0356334D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1、设计施工图：汉中坤仪工程管理有限公司设计的《镇巴县2025年县乡公路水毁恢复重建工程》施工图设计文件。</w:t>
      </w:r>
    </w:p>
    <w:p w14:paraId="6BCBB57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2、使用定额及相关规范：</w:t>
      </w:r>
    </w:p>
    <w:p w14:paraId="5CEF100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中华人民共和国行业标准《公路工程基本建设项目概算预算编制办法》（JTG3830-2018）、中华人民共和国行业标准《公路工程预算定额》（JTG/T 3832-2018）、中华人民共和国行业标准《公路工程机械台班费用定额》（JTGT 3833-2018）、陕西省交通厅关于执行交通部分《公路工程基本建设项目概算预算定额及编制办法补充规定》、陕西省交通运输厅关于执行交通运输部《公路工程营业税改增值税计价依据调整方案》的通知。</w:t>
      </w:r>
    </w:p>
    <w:p w14:paraId="2D40068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right="0"/>
        <w:jc w:val="both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0"/>
          <w:szCs w:val="20"/>
        </w:rPr>
        <w:t>四、计价取费说明</w:t>
      </w:r>
    </w:p>
    <w:p w14:paraId="27F39B0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432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1、直接费</w:t>
      </w:r>
    </w:p>
    <w:p w14:paraId="53AAE33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(1).人工费：</w:t>
      </w:r>
    </w:p>
    <w:p w14:paraId="0BAF50A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432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根据《补充规定》按105.89元/工日计算。</w:t>
      </w:r>
    </w:p>
    <w:p w14:paraId="235811D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(2).材料费:</w:t>
      </w:r>
    </w:p>
    <w:p w14:paraId="326DD94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材料价格依据汉中市建设工程造价信息2025年第9期镇巴县材料价格信息及市场询价。</w:t>
      </w:r>
    </w:p>
    <w:p w14:paraId="566D8B5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(3).机械台班费：</w:t>
      </w:r>
    </w:p>
    <w:p w14:paraId="7F8AFD59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依据交通部颁发的《公路工程机械台班费用定额》（JTGT 3833-2018）计算，车船使用税和养路费按《陕西省养路费及车船使用税》执行。</w:t>
      </w:r>
    </w:p>
    <w:p w14:paraId="14AE60C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2、其它直接费</w:t>
      </w:r>
    </w:p>
    <w:p w14:paraId="0875A98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(1).本工程临时设施费、施工辅助费、辅助生产费按《编制办法》规定计列。</w:t>
      </w:r>
    </w:p>
    <w:p w14:paraId="6DF6F99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(2).本工程不计夜间施工增加费。</w:t>
      </w:r>
    </w:p>
    <w:p w14:paraId="5274C73A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(3).本工程不计行车干扰增加费。</w:t>
      </w:r>
    </w:p>
    <w:p w14:paraId="619259A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(4).本工程不计沿海地区工程施工增加费。</w:t>
      </w:r>
    </w:p>
    <w:p w14:paraId="67AF1DD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(5).本工程不计高原施工增加费。</w:t>
      </w:r>
    </w:p>
    <w:p w14:paraId="11F67D8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(6).本工程不计风沙地区施工增加费。</w:t>
      </w:r>
    </w:p>
    <w:p w14:paraId="174912E3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</w:rPr>
        <w:t>(7).本工程不计取工地转移费。</w:t>
      </w:r>
    </w:p>
    <w:p w14:paraId="48105C2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3、间接费</w:t>
      </w:r>
    </w:p>
    <w:p w14:paraId="2163A90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(1).规费：按陕西省有关规定为人工费的33.36%;。</w:t>
      </w:r>
    </w:p>
    <w:p w14:paraId="4E6F77D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(2).利润、税金按规定计取。</w:t>
      </w:r>
    </w:p>
    <w:p w14:paraId="75F9B13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4、增值税按照9%计取。</w:t>
      </w:r>
    </w:p>
    <w:p w14:paraId="13EABF7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5、企业管理费、基本费用,综合里程、职工探亲、职工取暖、财务费用、辅助生产计取,利润计取;</w:t>
      </w:r>
    </w:p>
    <w:p w14:paraId="3EDD9FF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6、工程一切险为100章-700章之和（不含一切险和第三者责任险）的0.3%，第三责任险为100章-700章之和（不含一切险和第三者责任险）的0.1%，安全生产费为招标公示最高限价的1.5%。</w:t>
      </w:r>
    </w:p>
    <w:p w14:paraId="4129D053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7、暂列金额按100-700章合计的3%。</w:t>
      </w:r>
    </w:p>
    <w:p w14:paraId="1C2D31FF">
      <w:pPr>
        <w:rPr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1" w:fontKey="{02ECA2AA-F5DC-4D22-B6A6-5B06F1EDB41B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7B72ECA-6C81-4F13-A244-9E7F5AD5C7E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951DD8"/>
    <w:rsid w:val="5BB5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2024-10-31T08:32:00Z</dcterms:created>
  <dc:creator>Administrator.U8I7PYK8Y8BZOEH</dc:creator>
  <cp:lastModifiedBy>从66888开始</cp:lastModifiedBy>
  <dcterms:modified xsi:type="dcterms:W3CDTF">2025-12-31T02:09:41Z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7435B29546964D3CAA0E8B88289EE773_12</vt:lpwstr>
  </property>
  <property fmtid="{D5CDD505-2E9C-101B-9397-08002B2CF9AE}" pid="4" name="KSOTemplateDocerSaveRecord">
    <vt:lpwstr>eyJoZGlkIjoiZWE0OTFlZGI1M2VjYTEyZGE5M2JlNDVjZGNlYTQzMmYiLCJ1c2VySWQiOiI0MDIyMjc5NjcifQ==</vt:lpwstr>
  </property>
</Properties>
</file>