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版本号：政采-镇巴县-2026-0002220260126001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镇巴县赤南镇庙子坝村村级活动场所灾后恢复重建工程</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政采-镇巴县-2026-00022</w:t>
      </w:r>
      <w:r>
        <w:br/>
      </w:r>
      <w:r>
        <w:br/>
      </w:r>
      <w:r>
        <w:br/>
      </w:r>
    </w:p>
    <w:p>
      <w:pPr>
        <w:pStyle w:val="null3"/>
        <w:jc w:val="center"/>
        <w:outlineLvl w:val="2"/>
      </w:pPr>
      <w:r>
        <w:rPr>
          <w:rFonts w:ascii="仿宋_GB2312" w:hAnsi="仿宋_GB2312" w:cs="仿宋_GB2312" w:eastAsia="仿宋_GB2312"/>
          <w:sz w:val="28"/>
          <w:b/>
        </w:rPr>
        <w:t>镇巴县赤南镇人民政府</w:t>
      </w:r>
    </w:p>
    <w:p>
      <w:pPr>
        <w:pStyle w:val="null3"/>
        <w:jc w:val="center"/>
        <w:outlineLvl w:val="2"/>
      </w:pPr>
      <w:r>
        <w:rPr>
          <w:rFonts w:ascii="仿宋_GB2312" w:hAnsi="仿宋_GB2312" w:cs="仿宋_GB2312" w:eastAsia="仿宋_GB2312"/>
          <w:sz w:val="28"/>
          <w:b/>
        </w:rPr>
        <w:t>陕西汇博润项目管理有限公司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2026年01月26日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陕西汇博润项目管理有限公司</w:t>
      </w:r>
      <w:r>
        <w:rPr>
          <w:rFonts w:ascii="仿宋_GB2312" w:hAnsi="仿宋_GB2312" w:cs="仿宋_GB2312" w:eastAsia="仿宋_GB2312"/>
        </w:rPr>
        <w:t>（以下简称“代理机构”）受</w:t>
      </w:r>
      <w:r>
        <w:rPr>
          <w:rFonts w:ascii="仿宋_GB2312" w:hAnsi="仿宋_GB2312" w:cs="仿宋_GB2312" w:eastAsia="仿宋_GB2312"/>
        </w:rPr>
        <w:t>镇巴县赤南镇人民政府</w:t>
      </w:r>
      <w:r>
        <w:rPr>
          <w:rFonts w:ascii="仿宋_GB2312" w:hAnsi="仿宋_GB2312" w:cs="仿宋_GB2312" w:eastAsia="仿宋_GB2312"/>
        </w:rPr>
        <w:t>委托，拟对</w:t>
      </w:r>
      <w:r>
        <w:rPr>
          <w:rFonts w:ascii="仿宋_GB2312" w:hAnsi="仿宋_GB2312" w:cs="仿宋_GB2312" w:eastAsia="仿宋_GB2312"/>
        </w:rPr>
        <w:t>镇巴县赤南镇庙子坝村村级活动场所灾后恢复重建工程</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政采-镇巴县-2026-00022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镇巴县赤南镇庙子坝村村级活动场所灾后恢复重建工程</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镇巴县赤南镇庙子坝村村级活动场所灾后恢复重建工程，本工程位于陕西省汉中市镇巴县赤南镇庙子坝村，该项目主要内容为新建村级活动场所房屋一座，结构类型：框架结构，檐口高度：8.85m，建筑面积：338.6㎡，及相关水电安装等。具体内容详见工程量清单及施工图纸。</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采购包1（镇巴县赤南镇庙子坝村村级活动场所灾后恢复重建工程）：属于专门面向中小企业采购。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营业执照或事业单位法人证书等国家规定的相关证明，自然人参与的提供其身份证明，供应商需在项目电子化交易系统中按要求上传相应证明文件并进行电子签章;</w:t>
      </w:r>
    </w:p>
    <w:p>
      <w:pPr>
        <w:pStyle w:val="null3"/>
      </w:pPr>
      <w:r>
        <w:rPr>
          <w:rFonts w:ascii="仿宋_GB2312" w:hAnsi="仿宋_GB2312" w:cs="仿宋_GB2312" w:eastAsia="仿宋_GB2312"/>
        </w:rPr>
        <w:t>2、法定代表人或委托代理人身份证明：法定代表人参加投标须提供《法定代表人身份证明》及身份证复印件；法定代表人授权他人参加投标，须提供《法定代表人授权委托书》、委托代理人身份证复印件，供应商需在项目电子化交易系统中按要求上传相应证明文件并进行电子签章;</w:t>
      </w:r>
    </w:p>
    <w:p>
      <w:pPr>
        <w:pStyle w:val="null3"/>
      </w:pPr>
      <w:r>
        <w:rPr>
          <w:rFonts w:ascii="仿宋_GB2312" w:hAnsi="仿宋_GB2312" w:cs="仿宋_GB2312" w:eastAsia="仿宋_GB2312"/>
        </w:rPr>
        <w:t>3、供应商资质：供应商须具有建设行政主管部门颁发的建筑工程施工总承包三级及以上资质，具有有效的安全生产许可证，供应商需在项目电子化交易系统中按要求上传相应证明文件并进行电子签章;</w:t>
      </w:r>
    </w:p>
    <w:p>
      <w:pPr>
        <w:pStyle w:val="null3"/>
      </w:pPr>
      <w:r>
        <w:rPr>
          <w:rFonts w:ascii="仿宋_GB2312" w:hAnsi="仿宋_GB2312" w:cs="仿宋_GB2312" w:eastAsia="仿宋_GB2312"/>
        </w:rPr>
        <w:t>4、拟派项目负责人资质与专业要求：拟派项目负责人须具有建筑工程专业注册建造师二级及以上资格和安全生产考核合格B证，且无在建项目，供应商需在项目电子化交易系统中按要求上传相应证明文件并进行电子签章;</w:t>
      </w:r>
    </w:p>
    <w:p>
      <w:pPr>
        <w:pStyle w:val="null3"/>
      </w:pPr>
      <w:r>
        <w:rPr>
          <w:rFonts w:ascii="仿宋_GB2312" w:hAnsi="仿宋_GB2312" w:cs="仿宋_GB2312" w:eastAsia="仿宋_GB2312"/>
        </w:rPr>
        <w:t>5、汉中市政府采购供应商资格承诺函：供应商应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人”、“重大税收违法案件当事人名单”中，也未列入中国政府采购网“政府采购严重违法失信行为记录名单”中。需提供《汉中市政府采购供应商资格承诺函》，供应商需在项目电子化交易系统中按要求上传相应证明文件并进行电子签章；</w:t>
      </w:r>
    </w:p>
    <w:p>
      <w:pPr>
        <w:pStyle w:val="null3"/>
      </w:pPr>
      <w:r>
        <w:rPr>
          <w:rFonts w:ascii="仿宋_GB2312" w:hAnsi="仿宋_GB2312" w:cs="仿宋_GB2312" w:eastAsia="仿宋_GB2312"/>
        </w:rPr>
        <w:t>6、非联合体投标声明及无关联关系：本项目不接受联合体投标；单位负责人为同一人或者存在控股、管理关系的不同单位，不得参加同一项目的响应，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镇巴县赤南镇人民政府</w:t>
      </w:r>
    </w:p>
    <w:p>
      <w:pPr>
        <w:pStyle w:val="null3"/>
      </w:pPr>
      <w:r>
        <w:rPr>
          <w:rFonts w:ascii="仿宋_GB2312" w:hAnsi="仿宋_GB2312" w:cs="仿宋_GB2312" w:eastAsia="仿宋_GB2312"/>
        </w:rPr>
        <w:t xml:space="preserve"> 地址： </w:t>
      </w:r>
      <w:r>
        <w:rPr>
          <w:rFonts w:ascii="仿宋_GB2312" w:hAnsi="仿宋_GB2312" w:cs="仿宋_GB2312" w:eastAsia="仿宋_GB2312"/>
        </w:rPr>
        <w:t>镇巴县赤南镇长滩社区街上组</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723600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镇巴县赤南镇人民政府经办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18291688916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陕西汇博润项目管理有限公司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陕西省汉中市汉台区陕西省汉中市汉台区兴汉路物资总公司综合楼2楼203室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723600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黄女士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18729600010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镇巴县政府采购管理股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龙先生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0916-8641963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采购包1：702,695.64元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采购包1保证金金额：5,000.00元</w:t>
            </w:r>
          </w:p>
          <w:p>
            <w:pPr>
              <w:pStyle w:val="null3"/>
            </w:pPr>
            <w:r>
              <w:rPr>
                <w:rFonts w:ascii="仿宋_GB2312" w:hAnsi="仿宋_GB2312" w:cs="仿宋_GB2312" w:eastAsia="仿宋_GB2312"/>
              </w:rPr>
              <w:t>缴交渠道：转账、支票、汇票等（需通过实体账户、户名及开户行信息）</w:t>
            </w:r>
          </w:p>
          <w:p>
            <w:pPr>
              <w:pStyle w:val="null3"/>
            </w:pPr>
            <w:r>
              <w:rPr>
                <w:rFonts w:ascii="仿宋_GB2312" w:hAnsi="仿宋_GB2312" w:cs="仿宋_GB2312" w:eastAsia="仿宋_GB2312"/>
              </w:rPr>
              <w:t>开户名称：陕西汇博润项目管理有限公司</w:t>
            </w:r>
          </w:p>
          <w:p>
            <w:pPr>
              <w:pStyle w:val="null3"/>
            </w:pPr>
            <w:r>
              <w:rPr>
                <w:rFonts w:ascii="仿宋_GB2312" w:hAnsi="仿宋_GB2312" w:cs="仿宋_GB2312" w:eastAsia="仿宋_GB2312"/>
              </w:rPr>
              <w:t>开户银行：陕西汉中农村商业银行服务有限公司陈家营支行</w:t>
            </w:r>
          </w:p>
          <w:p>
            <w:pPr>
              <w:pStyle w:val="null3"/>
            </w:pPr>
            <w:r>
              <w:rPr>
                <w:rFonts w:ascii="仿宋_GB2312" w:hAnsi="仿宋_GB2312" w:cs="仿宋_GB2312" w:eastAsia="仿宋_GB2312"/>
              </w:rPr>
              <w:t>银行账号：2706012801201000049255</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 1、代理服务费收费标准：参照原国家计委《招标代理服务收费管理暂行办法》(计价格[2002]1980号)、国家发展和改革委员会《国家发展改革委办公厅关于招标代理服务收费有关问题的通知》(发改办价格[2003]857号)和《国家发展改革委关于降低部分建设项目收费标准规范收费行为等有关问题的通知》(发改价格[2011]534号)文件的相关规定收取。 2、采购代理服务费的缴纳方式:在领取《成交通知书》前向采购代理机均一次性全额缴纳采购代理服务费。 3、代理服务费的具体金额后续见本项目中标（成交）结果公告。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镇巴县赤南镇人民政府</w:t>
      </w:r>
      <w:r>
        <w:rPr>
          <w:rFonts w:ascii="仿宋_GB2312" w:hAnsi="仿宋_GB2312" w:cs="仿宋_GB2312" w:eastAsia="仿宋_GB2312"/>
        </w:rPr>
        <w:t>和</w:t>
      </w:r>
      <w:r>
        <w:rPr>
          <w:rFonts w:ascii="仿宋_GB2312" w:hAnsi="仿宋_GB2312" w:cs="仿宋_GB2312" w:eastAsia="仿宋_GB2312"/>
        </w:rPr>
        <w:t>陕西汇博润项目管理有限公司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镇巴县赤南镇人民政府</w:t>
      </w:r>
      <w:r>
        <w:rPr>
          <w:rFonts w:ascii="仿宋_GB2312" w:hAnsi="仿宋_GB2312" w:cs="仿宋_GB2312" w:eastAsia="仿宋_GB2312"/>
        </w:rPr>
        <w:t>负责解释。除上述磋商文件内容，其他内容由</w:t>
      </w:r>
      <w:r>
        <w:rPr>
          <w:rFonts w:ascii="仿宋_GB2312" w:hAnsi="仿宋_GB2312" w:cs="仿宋_GB2312" w:eastAsia="仿宋_GB2312"/>
        </w:rPr>
        <w:t>陕西汇博润项目管理有限公司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镇巴县赤南镇人民政府</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陕西汇博润项目管理有限公司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符合国家规定及相关标准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陕西汇博润项目管理有限公司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陕西汇博润项目管理有限公司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陕西汇博润项目管理有限公司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联系人：黄女士</w:t>
      </w:r>
    </w:p>
    <w:p>
      <w:pPr>
        <w:pStyle w:val="null3"/>
      </w:pPr>
      <w:r>
        <w:rPr>
          <w:rFonts w:ascii="仿宋_GB2312" w:hAnsi="仿宋_GB2312" w:cs="仿宋_GB2312" w:eastAsia="仿宋_GB2312"/>
        </w:rPr>
        <w:t>联系电话：18729600010</w:t>
      </w:r>
    </w:p>
    <w:p>
      <w:pPr>
        <w:pStyle w:val="null3"/>
      </w:pPr>
      <w:r>
        <w:rPr>
          <w:rFonts w:ascii="仿宋_GB2312" w:hAnsi="仿宋_GB2312" w:cs="仿宋_GB2312" w:eastAsia="仿宋_GB2312"/>
        </w:rPr>
        <w:t>地址：镇巴县沿山路孙二娘火锅店旁、中国体育彩票4楼</w:t>
      </w:r>
    </w:p>
    <w:p>
      <w:pPr>
        <w:pStyle w:val="null3"/>
      </w:pPr>
      <w:r>
        <w:rPr>
          <w:rFonts w:ascii="仿宋_GB2312" w:hAnsi="仿宋_GB2312" w:cs="仿宋_GB2312" w:eastAsia="仿宋_GB2312"/>
        </w:rPr>
        <w:t>邮编：723600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702,695.64</w:t>
      </w:r>
    </w:p>
    <w:p>
      <w:pPr>
        <w:pStyle w:val="null3"/>
      </w:pPr>
      <w:r>
        <w:rPr>
          <w:rFonts w:ascii="仿宋_GB2312" w:hAnsi="仿宋_GB2312" w:cs="仿宋_GB2312" w:eastAsia="仿宋_GB2312"/>
        </w:rPr>
        <w:t>采购包最高限价（元）: 702,695.64</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镇巴县赤南镇庙子坝村村级活动场所灾后恢复重建工程</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702,695.64</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标的名称：镇巴县赤南镇庙子坝村村级活动场所灾后恢复重建工程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技术要求详见本工程施工图纸及工程量清单</w:t>
            </w:r>
          </w:p>
          <w:p>
            <w:pPr>
              <w:pStyle w:val="null3"/>
              <w:jc w:val="left"/>
            </w:pPr>
          </w:p>
        </w:tc>
      </w:tr>
    </w:tbl>
    <w:p>
      <w:pPr>
        <w:pStyle w:val="null3"/>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达到国家及行业现行技术规范标准，符合国家及行业验收合格标准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1、工期：150日历天；2、质量：合格</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供应商应提交的相关资格证明材料.pdf 响应函 供应商认为需要提供的其他内容.pdf</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供应商应提交的相关资格证明材料.pdf 响应函 供应商认为需要提供的其他内容.pdf</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供应商应提交的相关资格证明材料.pdf 供应商认为需要提供的其他内容.pdf</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法定代表人或委托代理人身份证明</w:t>
            </w:r>
          </w:p>
        </w:tc>
        <w:tc>
          <w:tcPr>
            <w:tcW w:type="dxa" w:w="3322"/>
          </w:tcPr>
          <w:p>
            <w:pPr>
              <w:pStyle w:val="null3"/>
            </w:pPr>
            <w:r>
              <w:rPr>
                <w:rFonts w:ascii="仿宋_GB2312" w:hAnsi="仿宋_GB2312" w:cs="仿宋_GB2312" w:eastAsia="仿宋_GB2312"/>
              </w:rPr>
              <w:t>法定代表人参加投标须提供《法定代表人身份证明》及身份证复印件；法定代表人授权他人参加投标，须提供《法定代表人授权委托书》、委托代理人身份证复印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供应商应提交的相关资格证明材料.pdf 供应商认为需要提供的其他内容.pdf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供应商须具有建设行政主管部门颁发的建筑工程施工总承包三级及以上资质，具有有效的安全生产许可证，供应商需在项目电子化交易系统中按要求上传相应证明文件并进行电子签章;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供应商应提交的相关资格证明材料.pdf 供应商认为需要提供的其他内容.pdf</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拟派项目负责人资质与专业要求</w:t>
            </w:r>
          </w:p>
        </w:tc>
        <w:tc>
          <w:tcPr>
            <w:tcW w:type="dxa" w:w="3322"/>
          </w:tcPr>
          <w:p>
            <w:pPr>
              <w:pStyle w:val="null3"/>
            </w:pPr>
            <w:r>
              <w:rPr>
                <w:rFonts w:ascii="仿宋_GB2312" w:hAnsi="仿宋_GB2312" w:cs="仿宋_GB2312" w:eastAsia="仿宋_GB2312"/>
              </w:rPr>
              <w:t>拟派项目负责人须具有建筑工程专业注册建造师二级及以上资格和安全生产考核合格B证，且无在建项目，供应商需在项目电子化交易系统中按要求上传相应证明文件并进行电子签章;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供应商应提交的相关资格证明材料.pdf 供应商认为需要提供的其他内容.pdf</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汉中市政府采购供应商资格承诺函</w:t>
            </w:r>
          </w:p>
        </w:tc>
        <w:tc>
          <w:tcPr>
            <w:tcW w:type="dxa" w:w="3322"/>
          </w:tcPr>
          <w:p>
            <w:pPr>
              <w:pStyle w:val="null3"/>
            </w:pPr>
            <w:r>
              <w:rPr>
                <w:rFonts w:ascii="仿宋_GB2312" w:hAnsi="仿宋_GB2312" w:cs="仿宋_GB2312" w:eastAsia="仿宋_GB2312"/>
              </w:rPr>
              <w:t>供应商应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人”、“重大税收违法案件当事人名单”中，也未列入中国政府采购网“政府采购严重违法失信行为记录名单”中。需提供《汉中市政府采购供应商资格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供应商应提交的相关资格证明材料.pdf 供应商认为需要提供的其他内容.pdf</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非联合体投标声明及无关联关系</w:t>
            </w:r>
          </w:p>
        </w:tc>
        <w:tc>
          <w:tcPr>
            <w:tcW w:type="dxa" w:w="3322"/>
          </w:tcPr>
          <w:p>
            <w:pPr>
              <w:pStyle w:val="null3"/>
            </w:pPr>
            <w:r>
              <w:rPr>
                <w:rFonts w:ascii="仿宋_GB2312" w:hAnsi="仿宋_GB2312" w:cs="仿宋_GB2312" w:eastAsia="仿宋_GB2312"/>
              </w:rPr>
              <w:t>本项目不接受联合体投标；单位负责人为同一人或者存在控股、管理关系的不同单位，不得参加同一项目的响应，供应商需在项目电子化交易系统中按要求上传相应证明文件并进行电子签章。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供应商应提交的相关资格证明材料.pdf 供应商认为需要提供的其他内容.pdf</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w:t>
            </w:r>
          </w:p>
        </w:tc>
        <w:tc>
          <w:tcPr>
            <w:tcW w:type="dxa" w:w="1661"/>
          </w:tcPr>
          <w:p>
            <w:pPr>
              <w:pStyle w:val="null3"/>
            </w:pPr>
            <w:r>
              <w:rPr>
                <w:rFonts w:ascii="仿宋_GB2312" w:hAnsi="仿宋_GB2312" w:cs="仿宋_GB2312" w:eastAsia="仿宋_GB2312"/>
              </w:rPr>
              <w:t>已标价工程量清单 报价函 标的清单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应满足磋商文件的要求</w:t>
            </w:r>
          </w:p>
        </w:tc>
        <w:tc>
          <w:tcPr>
            <w:tcW w:type="dxa" w:w="1661"/>
          </w:tcPr>
          <w:p>
            <w:pPr>
              <w:pStyle w:val="null3"/>
            </w:pPr>
            <w:r>
              <w:rPr>
                <w:rFonts w:ascii="仿宋_GB2312" w:hAnsi="仿宋_GB2312" w:cs="仿宋_GB2312" w:eastAsia="仿宋_GB2312"/>
              </w:rPr>
              <w:t>报价函 技术响应方案.pdf</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工程质量</w:t>
            </w:r>
          </w:p>
        </w:tc>
        <w:tc>
          <w:tcPr>
            <w:tcW w:type="dxa" w:w="3322"/>
          </w:tcPr>
          <w:p>
            <w:pPr>
              <w:pStyle w:val="null3"/>
            </w:pPr>
            <w:r>
              <w:rPr>
                <w:rFonts w:ascii="仿宋_GB2312" w:hAnsi="仿宋_GB2312" w:cs="仿宋_GB2312" w:eastAsia="仿宋_GB2312"/>
              </w:rPr>
              <w:t>应符合磋商文件的要求</w:t>
            </w:r>
          </w:p>
        </w:tc>
        <w:tc>
          <w:tcPr>
            <w:tcW w:type="dxa" w:w="1661"/>
          </w:tcPr>
          <w:p>
            <w:pPr>
              <w:pStyle w:val="null3"/>
            </w:pPr>
            <w:r>
              <w:rPr>
                <w:rFonts w:ascii="仿宋_GB2312" w:hAnsi="仿宋_GB2312" w:cs="仿宋_GB2312" w:eastAsia="仿宋_GB2312"/>
              </w:rPr>
              <w:t>报价函 技术响应方案.pdf</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应符合磋商文件的规定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 xml:space="preserve"> 响应文件的签署盖章</w:t>
            </w:r>
          </w:p>
        </w:tc>
        <w:tc>
          <w:tcPr>
            <w:tcW w:type="dxa" w:w="3322"/>
          </w:tcPr>
          <w:p>
            <w:pPr>
              <w:pStyle w:val="null3"/>
            </w:pPr>
            <w:r>
              <w:rPr>
                <w:rFonts w:ascii="仿宋_GB2312" w:hAnsi="仿宋_GB2312" w:cs="仿宋_GB2312" w:eastAsia="仿宋_GB2312"/>
              </w:rPr>
              <w:t>响应文件有法定代表人或授权委托人的签字或盖章并加盖投标供应商公章</w:t>
            </w:r>
          </w:p>
        </w:tc>
        <w:tc>
          <w:tcPr>
            <w:tcW w:type="dxa" w:w="1661"/>
          </w:tcPr>
          <w:p>
            <w:pPr>
              <w:pStyle w:val="null3"/>
            </w:pPr>
            <w:r>
              <w:rPr>
                <w:rFonts w:ascii="仿宋_GB2312" w:hAnsi="仿宋_GB2312" w:cs="仿宋_GB2312" w:eastAsia="仿宋_GB2312"/>
              </w:rPr>
              <w:t>已标价工程量清单 中小企业声明函 技术响应方案.pdf 强制优先采购产品承诺函 响应文件封面 主要人员简历表.docx 政府采购供应商拒绝政府采购领域商业贿赂承诺书.pdf 残疾人福利性单位声明函 报价函 供应商应提交的相关资格证明材料.pdf 标的清单 供应商类似项目业绩一览表 项目管理机构组成表.pdf 响应函 供应商认为需要提供的其他内容.pdf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按照磋商文件要求提交了保证金</w:t>
            </w:r>
          </w:p>
        </w:tc>
        <w:tc>
          <w:tcPr>
            <w:tcW w:type="dxa" w:w="1661"/>
          </w:tcPr>
          <w:p>
            <w:pPr>
              <w:pStyle w:val="null3"/>
            </w:pPr>
            <w:r>
              <w:rPr>
                <w:rFonts w:ascii="仿宋_GB2312" w:hAnsi="仿宋_GB2312" w:cs="仿宋_GB2312" w:eastAsia="仿宋_GB2312"/>
              </w:rPr>
              <w:t>供应商认为需要提供的其他内容.pdf</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其他内容</w:t>
            </w:r>
          </w:p>
        </w:tc>
        <w:tc>
          <w:tcPr>
            <w:tcW w:type="dxa" w:w="3322"/>
          </w:tcPr>
          <w:p>
            <w:pPr>
              <w:pStyle w:val="null3"/>
            </w:pPr>
            <w:r>
              <w:rPr>
                <w:rFonts w:ascii="仿宋_GB2312" w:hAnsi="仿宋_GB2312" w:cs="仿宋_GB2312" w:eastAsia="仿宋_GB2312"/>
              </w:rPr>
              <w:t>法律、规章、规范性文件和磋商文件规定的其他无效情形（供应商应当使用纳入陕西省政府采购综合管理平台数字证书互认范围的数字证书及签章进行系统操作。供应商对其系统操作行为和电子签章确认的事项承担法律责任)</w:t>
            </w:r>
          </w:p>
        </w:tc>
        <w:tc>
          <w:tcPr>
            <w:tcW w:type="dxa" w:w="1661"/>
          </w:tcPr>
          <w:p>
            <w:pPr>
              <w:pStyle w:val="null3"/>
            </w:pPr>
            <w:r>
              <w:rPr>
                <w:rFonts w:ascii="仿宋_GB2312" w:hAnsi="仿宋_GB2312" w:cs="仿宋_GB2312" w:eastAsia="仿宋_GB2312"/>
              </w:rPr>
              <w:t>已标价工程量清单 中小企业声明函 技术响应方案.pdf 强制优先采购产品承诺函 响应文件封面 主要人员简历表.docx 政府采购供应商拒绝政府采购领域商业贿赂承诺书.pdf 残疾人福利性单位声明函 报价函 供应商应提交的相关资格证明材料.pdf 标的清单 供应商类似项目业绩一览表 项目管理机构组成表.pdf 响应函 供应商认为需要提供的其他内容.pdf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根据供应商制定的项目施工方案及措施进行综合评审。 A.施工方案完整详细、有针对性，完全满足项目实施，具有优化建议的得[8-10]分； B.施工方案完整，可行，有针对性，能满足项目实施的全部要求的得[5-8]分； C.施工方案非专门针对本项目，存在逻辑漏洞或前后内容不一致的得[2-5]分； D.施工方案有较大缺陷，或完全套用其他项目且内容较少的得[0-2]分； E.未提供得0分。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技术响应方案.pdf</w:t>
            </w:r>
          </w:p>
        </w:tc>
      </w:tr>
      <w:tr>
        <w:tc>
          <w:tcPr>
            <w:tcW w:type="dxa" w:w="831"/>
            <w:vMerge/>
          </w:tcPr>
          <w:p/>
        </w:tc>
        <w:tc>
          <w:tcPr>
            <w:tcW w:type="dxa" w:w="1661"/>
          </w:tcPr>
          <w:p>
            <w:pPr>
              <w:pStyle w:val="null3"/>
            </w:pPr>
            <w:r>
              <w:rPr>
                <w:rFonts w:ascii="仿宋_GB2312" w:hAnsi="仿宋_GB2312" w:cs="仿宋_GB2312" w:eastAsia="仿宋_GB2312"/>
              </w:rPr>
              <w:t>施工质量保证措施</w:t>
            </w:r>
          </w:p>
        </w:tc>
        <w:tc>
          <w:tcPr>
            <w:tcW w:type="dxa" w:w="2492"/>
          </w:tcPr>
          <w:p>
            <w:pPr>
              <w:pStyle w:val="null3"/>
            </w:pPr>
            <w:r>
              <w:rPr>
                <w:rFonts w:ascii="仿宋_GB2312" w:hAnsi="仿宋_GB2312" w:cs="仿宋_GB2312" w:eastAsia="仿宋_GB2312"/>
              </w:rPr>
              <w:t>根据供应商制定的工程质量保证措施进行综合评审。 A.措施计划详细齐全、合理且切实可行，完全满足采购人需求，具有优化建议的得[8-10]分； B.措施计划齐全、合理、切实可行，满足采购人需求得[5-8]分； C.措施计划非专门针对本项目，存在逻辑漏洞或前后内容不一致的得[2-5]分； D.措施计划有较大缺陷，或完全套用其他项目且内容较少的得[0-2]分； E.未提供得0分。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技术响应方案.pdf</w:t>
            </w:r>
          </w:p>
        </w:tc>
      </w:tr>
      <w:tr>
        <w:tc>
          <w:tcPr>
            <w:tcW w:type="dxa" w:w="831"/>
            <w:vMerge/>
          </w:tcPr>
          <w:p/>
        </w:tc>
        <w:tc>
          <w:tcPr>
            <w:tcW w:type="dxa" w:w="1661"/>
          </w:tcPr>
          <w:p>
            <w:pPr>
              <w:pStyle w:val="null3"/>
            </w:pPr>
            <w:r>
              <w:rPr>
                <w:rFonts w:ascii="仿宋_GB2312" w:hAnsi="仿宋_GB2312" w:cs="仿宋_GB2312" w:eastAsia="仿宋_GB2312"/>
              </w:rPr>
              <w:t>施工安全保证措施</w:t>
            </w:r>
          </w:p>
        </w:tc>
        <w:tc>
          <w:tcPr>
            <w:tcW w:type="dxa" w:w="2492"/>
          </w:tcPr>
          <w:p>
            <w:pPr>
              <w:pStyle w:val="null3"/>
            </w:pPr>
            <w:r>
              <w:rPr>
                <w:rFonts w:ascii="仿宋_GB2312" w:hAnsi="仿宋_GB2312" w:cs="仿宋_GB2312" w:eastAsia="仿宋_GB2312"/>
              </w:rPr>
              <w:t>根据供应商制定的施工安全保证措施进行综合评审。 A.提供具体详细、有针对性的安全作业方案及安全配套措施，完全符合采购人安全作业要求且具有优化建议的，得[8-10]分； B.提供安全作业方案及安全配套措施，符合采购人安全作业的要求，得[5-8]分； C.提供的安全作业方案及安全配套措施非专门针对本项目，套用其他项目内容，存在逻辑漏洞或前后内容不一致的得[2-5]分； D.提供的安全作业方案及安全配套措施简陋，存在不利于采购人安全作业要求实现的，得[0-2]分。 E.未提供得0分。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技术响应方案.pdf</w:t>
            </w:r>
          </w:p>
        </w:tc>
      </w:tr>
      <w:tr>
        <w:tc>
          <w:tcPr>
            <w:tcW w:type="dxa" w:w="831"/>
            <w:vMerge/>
          </w:tcPr>
          <w:p/>
        </w:tc>
        <w:tc>
          <w:tcPr>
            <w:tcW w:type="dxa" w:w="1661"/>
          </w:tcPr>
          <w:p>
            <w:pPr>
              <w:pStyle w:val="null3"/>
            </w:pPr>
            <w:r>
              <w:rPr>
                <w:rFonts w:ascii="仿宋_GB2312" w:hAnsi="仿宋_GB2312" w:cs="仿宋_GB2312" w:eastAsia="仿宋_GB2312"/>
              </w:rPr>
              <w:t>施工进度计划及工期保证措施</w:t>
            </w:r>
          </w:p>
        </w:tc>
        <w:tc>
          <w:tcPr>
            <w:tcW w:type="dxa" w:w="2492"/>
          </w:tcPr>
          <w:p>
            <w:pPr>
              <w:pStyle w:val="null3"/>
            </w:pPr>
            <w:r>
              <w:rPr>
                <w:rFonts w:ascii="仿宋_GB2312" w:hAnsi="仿宋_GB2312" w:cs="仿宋_GB2312" w:eastAsia="仿宋_GB2312"/>
              </w:rPr>
              <w:t>根据供应商制定的施工进度计划及工期保证措施进行综合评审。 A.措施计划详细齐全、合理且切实可行，完全满足采购人需求，具有优化建议的得[8-10]分； B.措施计划齐全、合理、切实可行，满足采购人需求得[5-8]分； C.措施计划非专门针对本项目，存在逻辑漏洞或前后内容不一致的得[2-5]分； D.措施计划有较大缺陷，或完全套用其他项目且内容较少的得[0-2]分； E.未提供得0分。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技术响应方案.pdf</w:t>
            </w:r>
          </w:p>
        </w:tc>
      </w:tr>
      <w:tr>
        <w:tc>
          <w:tcPr>
            <w:tcW w:type="dxa" w:w="831"/>
            <w:vMerge/>
          </w:tcPr>
          <w:p/>
        </w:tc>
        <w:tc>
          <w:tcPr>
            <w:tcW w:type="dxa" w:w="1661"/>
          </w:tcPr>
          <w:p>
            <w:pPr>
              <w:pStyle w:val="null3"/>
            </w:pPr>
            <w:r>
              <w:rPr>
                <w:rFonts w:ascii="仿宋_GB2312" w:hAnsi="仿宋_GB2312" w:cs="仿宋_GB2312" w:eastAsia="仿宋_GB2312"/>
              </w:rPr>
              <w:t>文明施工及环境保护措施</w:t>
            </w:r>
          </w:p>
        </w:tc>
        <w:tc>
          <w:tcPr>
            <w:tcW w:type="dxa" w:w="2492"/>
          </w:tcPr>
          <w:p>
            <w:pPr>
              <w:pStyle w:val="null3"/>
            </w:pPr>
            <w:r>
              <w:rPr>
                <w:rFonts w:ascii="仿宋_GB2312" w:hAnsi="仿宋_GB2312" w:cs="仿宋_GB2312" w:eastAsia="仿宋_GB2312"/>
              </w:rPr>
              <w:t>根据供应商制定的文明施工措施计划进行综合评审。 A.措施计划详细齐全、合理且切实可行，完全满足采购人需求，具有优化建议的得[8-10]分； B.措施计划齐全、合理、切实可行，满足采购人需求得[5-8]分； C.措施计划非专门针对本项目，存在逻辑漏洞或前后内容不一致的得[2-5]分； D.措施计划有较大缺陷，或完全套用其他项目且内容较少得[0-2]分； E.未提供得0分。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技术响应方案.pdf</w:t>
            </w:r>
          </w:p>
        </w:tc>
      </w:tr>
      <w:tr>
        <w:tc>
          <w:tcPr>
            <w:tcW w:type="dxa" w:w="831"/>
            <w:vMerge/>
          </w:tcPr>
          <w:p/>
        </w:tc>
        <w:tc>
          <w:tcPr>
            <w:tcW w:type="dxa" w:w="1661"/>
          </w:tcPr>
          <w:p>
            <w:pPr>
              <w:pStyle w:val="null3"/>
            </w:pPr>
            <w:r>
              <w:rPr>
                <w:rFonts w:ascii="仿宋_GB2312" w:hAnsi="仿宋_GB2312" w:cs="仿宋_GB2312" w:eastAsia="仿宋_GB2312"/>
              </w:rPr>
              <w:t>项目组织管理机构</w:t>
            </w:r>
          </w:p>
        </w:tc>
        <w:tc>
          <w:tcPr>
            <w:tcW w:type="dxa" w:w="2492"/>
          </w:tcPr>
          <w:p>
            <w:pPr>
              <w:pStyle w:val="null3"/>
            </w:pPr>
            <w:r>
              <w:rPr>
                <w:rFonts w:ascii="仿宋_GB2312" w:hAnsi="仿宋_GB2312" w:cs="仿宋_GB2312" w:eastAsia="仿宋_GB2312"/>
              </w:rPr>
              <w:t>根据供应商提供的项目组织管理机构配备进行综合评审。 A.机构设置合理完善，人员配备齐全，技术经验丰富，人员专业性强，完全满足项目需求得[8-10]分； B.机构设置合理，人员配备齐全，且具备从业经验，满足项目需求得[5-8]分； C.机构设置非专门针对本项目，人员配备、技术经验有缺陷的得[2-5]分； D.机构设置、人员配备不完整，或无相关经验的得[0-2]分； E.未提供得0分。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项目管理机构组成表.pdf</w:t>
            </w:r>
          </w:p>
          <w:p>
            <w:pPr>
              <w:pStyle w:val="null3"/>
            </w:pPr>
            <w:r>
              <w:rPr>
                <w:rFonts w:ascii="仿宋_GB2312" w:hAnsi="仿宋_GB2312" w:cs="仿宋_GB2312" w:eastAsia="仿宋_GB2312"/>
              </w:rPr>
              <w:t>主要人员简历表.docx</w:t>
            </w:r>
          </w:p>
          <w:p>
            <w:pPr>
              <w:pStyle w:val="null3"/>
            </w:pPr>
            <w:r>
              <w:rPr>
                <w:rFonts w:ascii="仿宋_GB2312" w:hAnsi="仿宋_GB2312" w:cs="仿宋_GB2312" w:eastAsia="仿宋_GB2312"/>
              </w:rPr>
              <w:t>技术响应方案.pdf</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提供2023年至今类似项目业绩，响应文件中附有其业绩证明材料（中标通知书或合同复印件加盖公章）每提供一个计2.5分，满分5分。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技术响应方案.pdf</w:t>
            </w:r>
          </w:p>
        </w:tc>
      </w:tr>
      <w:tr>
        <w:tc>
          <w:tcPr>
            <w:tcW w:type="dxa" w:w="831"/>
            <w:vMerge/>
          </w:tcPr>
          <w:p/>
        </w:tc>
        <w:tc>
          <w:tcPr>
            <w:tcW w:type="dxa" w:w="1661"/>
          </w:tcPr>
          <w:p>
            <w:pPr>
              <w:pStyle w:val="null3"/>
            </w:pPr>
            <w:r>
              <w:rPr>
                <w:rFonts w:ascii="仿宋_GB2312" w:hAnsi="仿宋_GB2312" w:cs="仿宋_GB2312" w:eastAsia="仿宋_GB2312"/>
              </w:rPr>
              <w:t>质量保修承诺</w:t>
            </w:r>
          </w:p>
        </w:tc>
        <w:tc>
          <w:tcPr>
            <w:tcW w:type="dxa" w:w="2492"/>
          </w:tcPr>
          <w:p>
            <w:pPr>
              <w:pStyle w:val="null3"/>
            </w:pPr>
            <w:r>
              <w:rPr>
                <w:rFonts w:ascii="仿宋_GB2312" w:hAnsi="仿宋_GB2312" w:cs="仿宋_GB2312" w:eastAsia="仿宋_GB2312"/>
              </w:rPr>
              <w:t>质量保修承诺完整、合理及后续服务条款具体、可行，得[2-5]分；质量保修承诺含糊及后续服务条款基本可行，得（0-2]分，未提供不计分。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技术响应方案.pdf</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价格分统一采用低价优先法计算，即满足采购文件要求且投标价格最低的投标报价为评标基准价，其价格分为满分。其他投标人的价格分统一按照下列公式计算： 价格分=(评标基准价／投标报价)×报价分值 注：本项目专门面向中小企业采购，评审时不再进行价格扣除。</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详见附件：供应商应提交的相关资格证明材料.pdf</w:t>
      </w:r>
    </w:p>
    <w:p>
      <w:pPr>
        <w:pStyle w:val="null3"/>
        <w:ind w:firstLine="960"/>
      </w:pPr>
      <w:r>
        <w:rPr>
          <w:rFonts w:ascii="仿宋_GB2312" w:hAnsi="仿宋_GB2312" w:cs="仿宋_GB2312" w:eastAsia="仿宋_GB2312"/>
        </w:rPr>
        <w:t>详见附件：项目管理机构组成表.pdf</w:t>
      </w:r>
    </w:p>
    <w:p>
      <w:pPr>
        <w:pStyle w:val="null3"/>
        <w:ind w:firstLine="960"/>
      </w:pPr>
      <w:r>
        <w:rPr>
          <w:rFonts w:ascii="仿宋_GB2312" w:hAnsi="仿宋_GB2312" w:cs="仿宋_GB2312" w:eastAsia="仿宋_GB2312"/>
        </w:rPr>
        <w:t>详见附件：主要人员简历表.docx</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详见附件：技术响应方案.pdf</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详见附件：政府采购供应商拒绝政府采购领域商业贿赂承诺书.pdf</w:t>
      </w:r>
    </w:p>
    <w:p>
      <w:pPr>
        <w:pStyle w:val="null3"/>
        <w:ind w:firstLine="960"/>
      </w:pPr>
      <w:r>
        <w:rPr>
          <w:rFonts w:ascii="仿宋_GB2312" w:hAnsi="仿宋_GB2312" w:cs="仿宋_GB2312" w:eastAsia="仿宋_GB2312"/>
        </w:rPr>
        <w:t>详见附件：供应商认为需要提供的其他内容.pdf</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详见附件：施工合同.docx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