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版本号：ZSJC-ZFCG-2026021120260211001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镇巴县穿心店至杨家河公路改建工程勘察设计项目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ZSJC-ZFCG-20260211</w:t>
      </w:r>
      <w:r>
        <w:br/>
      </w:r>
      <w:r>
        <w:br/>
      </w:r>
      <w:r>
        <w:br/>
      </w:r>
    </w:p>
    <w:p>
      <w:pPr>
        <w:pStyle w:val="null3"/>
        <w:jc w:val="center"/>
        <w:outlineLvl w:val="2"/>
      </w:pPr>
      <w:r>
        <w:rPr>
          <w:rFonts w:ascii="仿宋_GB2312" w:hAnsi="仿宋_GB2312" w:cs="仿宋_GB2312" w:eastAsia="仿宋_GB2312"/>
          <w:sz w:val="28"/>
          <w:b/>
        </w:rPr>
        <w:t>镇巴县交通运输局</w:t>
      </w:r>
    </w:p>
    <w:p>
      <w:pPr>
        <w:pStyle w:val="null3"/>
        <w:jc w:val="center"/>
        <w:outlineLvl w:val="2"/>
      </w:pPr>
      <w:r>
        <w:rPr>
          <w:rFonts w:ascii="仿宋_GB2312" w:hAnsi="仿宋_GB2312" w:cs="仿宋_GB2312" w:eastAsia="仿宋_GB2312"/>
          <w:sz w:val="28"/>
          <w:b/>
        </w:rPr>
        <w:t>中盛精诚工程项目管理有限公司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中盛精诚工程项目管理有限公司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镇巴县交通运输局</w:t>
      </w:r>
      <w:r>
        <w:rPr>
          <w:rFonts w:ascii="仿宋_GB2312" w:hAnsi="仿宋_GB2312" w:cs="仿宋_GB2312" w:eastAsia="仿宋_GB2312"/>
        </w:rPr>
        <w:t>委托，拟对</w:t>
      </w:r>
      <w:r>
        <w:rPr>
          <w:rFonts w:ascii="仿宋_GB2312" w:hAnsi="仿宋_GB2312" w:cs="仿宋_GB2312" w:eastAsia="仿宋_GB2312"/>
        </w:rPr>
        <w:t>镇巴县穿心店至杨家河公路改建工程勘察设计项目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ZSJC-ZFCG-20260211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镇巴县穿心店至杨家河公路改建工程勘察设计项目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建项目路线起点位于西乡穿心店村，接210国道K1618+770处，途径红石梁、柳树垭、三湾村、天心桥，终点位于镇巴杨家河镇杨家河社区二道桥，接210国道K1627+330处，路线全长16.845公里。全线一般路段按三级公路标准建设，设计速度30km/h，路基宽度7.5m，桥涵设计汽车荷载采用公路-II级；困难路段按四级公路技术标准，设计速度20Km/h，路基宽度7.5m，路面工程宽7.0m；桥涵工程、交叉工程、沿线设施及绿化工程等；其他各项技术指标按现行有关规范和规定执行。达到国家及行业规范合格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采购包1（镇巴县穿心店至杨家河公路改建工程勘察设计项目）：属于专门面向中小企业采购。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或授权委托人身份证明：供应商应授权合法的在职人员参加投标，其中法定代表人直接参加的，须出具法定代表人身份证原件，并与营业执照上信息一致；授权代表参加的，须出具法定代表人授权书及被授权人身份证原件；</w:t>
      </w:r>
    </w:p>
    <w:p>
      <w:pPr>
        <w:pStyle w:val="null3"/>
      </w:pPr>
      <w:r>
        <w:rPr>
          <w:rFonts w:ascii="仿宋_GB2312" w:hAnsi="仿宋_GB2312" w:cs="仿宋_GB2312" w:eastAsia="仿宋_GB2312"/>
        </w:rPr>
        <w:t>3、供应商资格条件：供应商须具备建设行政主管部门颁发的工程勘察综合类甲级或工程勘察专业类（测量）乙级及以上资质和工程设计综合资质甲级或公路行业（公路）专业乙级及以上资质，在人员等方面具备相应的勘察设计能力，项目负责人具备公路工程相关技术职称；</w:t>
      </w:r>
    </w:p>
    <w:p>
      <w:pPr>
        <w:pStyle w:val="null3"/>
      </w:pPr>
      <w:r>
        <w:rPr>
          <w:rFonts w:ascii="仿宋_GB2312" w:hAnsi="仿宋_GB2312" w:cs="仿宋_GB2312" w:eastAsia="仿宋_GB2312"/>
        </w:rPr>
        <w:t>4、拟派项目负责人资格要求：供应商拟派项目负责人具备公路工程相关专业的高级职称，且在本单位任职（提供相应证明材料）。</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w:t>
      </w:r>
    </w:p>
    <w:p>
      <w:pPr>
        <w:pStyle w:val="null3"/>
      </w:pPr>
      <w:r>
        <w:rPr>
          <w:rFonts w:ascii="仿宋_GB2312" w:hAnsi="仿宋_GB2312" w:cs="仿宋_GB2312" w:eastAsia="仿宋_GB2312"/>
        </w:rPr>
        <w:t>6、本项目不接受联合体投标：本项目不接受联合体投标（提供非联合体声明）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19991605011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中盛精诚工程项目管理有限公司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镇巴县水土保持工作站对面二楼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程胜建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13992659725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代理服务费收费标准：《采购代理服务收费管理暂行办法》（计价格[2002]1980号）、国家发展改革委员会办公厅颁发的《关于采购代理服务收费有关问题的通知》（发改办价格[2003] 857号）、《国家发展改革委关于降低部分建设项目收费标准规范收费行为等有关问题的通知》（发改价格[2011]534号）的有关规定，经甲乙双方协商。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镇巴县交通运输局</w:t>
      </w:r>
      <w:r>
        <w:rPr>
          <w:rFonts w:ascii="仿宋_GB2312" w:hAnsi="仿宋_GB2312" w:cs="仿宋_GB2312" w:eastAsia="仿宋_GB2312"/>
        </w:rPr>
        <w:t>和</w:t>
      </w:r>
      <w:r>
        <w:rPr>
          <w:rFonts w:ascii="仿宋_GB2312" w:hAnsi="仿宋_GB2312" w:cs="仿宋_GB2312" w:eastAsia="仿宋_GB2312"/>
        </w:rPr>
        <w:t>中盛精诚工程项目管理有限公司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镇巴县交通运输局</w:t>
      </w:r>
      <w:r>
        <w:rPr>
          <w:rFonts w:ascii="仿宋_GB2312" w:hAnsi="仿宋_GB2312" w:cs="仿宋_GB2312" w:eastAsia="仿宋_GB2312"/>
        </w:rPr>
        <w:t>负责解释。除上述招标文件内容，其他内容由</w:t>
      </w:r>
      <w:r>
        <w:rPr>
          <w:rFonts w:ascii="仿宋_GB2312" w:hAnsi="仿宋_GB2312" w:cs="仿宋_GB2312" w:eastAsia="仿宋_GB2312"/>
        </w:rPr>
        <w:t>中盛精诚工程项目管理有限公司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中盛精诚工程项目管理有限公司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联系人：程先生</w:t>
      </w:r>
    </w:p>
    <w:p>
      <w:pPr>
        <w:pStyle w:val="null3"/>
      </w:pPr>
      <w:r>
        <w:rPr>
          <w:rFonts w:ascii="仿宋_GB2312" w:hAnsi="仿宋_GB2312" w:cs="仿宋_GB2312" w:eastAsia="仿宋_GB2312"/>
        </w:rPr>
        <w:t>联系电话：13992659725</w:t>
      </w:r>
    </w:p>
    <w:p>
      <w:pPr>
        <w:pStyle w:val="null3"/>
      </w:pPr>
      <w:r>
        <w:rPr>
          <w:rFonts w:ascii="仿宋_GB2312" w:hAnsi="仿宋_GB2312" w:cs="仿宋_GB2312" w:eastAsia="仿宋_GB2312"/>
        </w:rPr>
        <w:t>地址：镇巴县水土保持工作站对面二楼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建项目路线起点位于西乡穿心店村，接210国道K1618+770处，途径红石梁、柳树垭、三湾村、天心桥，终点位于镇巴杨家河镇杨家河社区二道桥，接210国道K1627+330处，路线全长16.845公里。全线一般路段按三级公路标准建设，设计速度30km/h，路基宽度7.5m，桥涵设计汽车荷载采用公路-II级；困难路段按四级公路技术标准，设计速度20Km/h，路基宽度7.5m，路面工程宽7.0m；桥涵工程、交叉工程、沿线设施及绿化工程等；其他各项技术指标按现行有关规范和规定执行。达到国家及行业规范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镇巴县穿心店至杨家河公路改建工程勘察设计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标的名称：镇巴县穿心店至杨家河公路改建工程勘察设计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80"/>
              <w:jc w:val="right"/>
            </w:pPr>
            <w:r>
              <w:rPr>
                <w:rFonts w:ascii="仿宋_GB2312" w:hAnsi="仿宋_GB2312" w:cs="仿宋_GB2312" w:eastAsia="仿宋_GB2312"/>
                <w:sz w:val="24"/>
                <w:color w:val="333333"/>
              </w:rPr>
              <w:t>拟建项目路线起点位于西乡穿心店村，接</w:t>
            </w:r>
            <w:r>
              <w:rPr>
                <w:rFonts w:ascii="仿宋_GB2312" w:hAnsi="仿宋_GB2312" w:cs="仿宋_GB2312" w:eastAsia="仿宋_GB2312"/>
                <w:sz w:val="24"/>
                <w:color w:val="333333"/>
              </w:rPr>
              <w:t>210国道K1618+770处，途径红石梁、柳树垭、三湾村、天心桥，终点位于镇巴杨家河镇杨家河社区二道桥，接210国道K1627+330处，路线全长16.845公里。全线一般路段按三级公路标准建设，设计速度30km/h，路基宽度7.5m，桥涵设计汽车荷载采用公路-II级；困难路段按四级公路技术标准，设计速度20Km/h，路基宽度7.5m，路面工程宽7.0m；桥涵工程、交叉工程、沿线设施及绿化工程等；其他各项技术指标按现行有关规范和规定执行。达到国家及行业规范合格标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1、供应商提供的服务，必须是符合国家有关标准要求，并满足招标文件规定的价格、完成期限、售后服务及供应商须承担的技术支持和招标文件规定的其它伴随服务等要求。 2、采购人有权拒绝接受任何不合格的服务，由此产生的费用及相关后果均由供应商自行承担。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镇巴县交通运输局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此合同如有与政策相违背，立即终止此合同。本合同未尽事宜由双方协商解决，协-第4页-商不成时，任何一方均可向甲方当地人民法院提起诉讼。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按照国家及行业相关规范完成项目设计，达到合格标准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2.具备良好商业信誉的证明材料（按照招标文件格式提供承诺函）； 3.具备法律、行政法规规定的其他条件的证明材料（按照招标文件格式提供承诺函）；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拒绝政府采购领域商业贿赂承诺</w:t>
            </w:r>
          </w:p>
        </w:tc>
        <w:tc>
          <w:tcPr>
            <w:tcW w:type="dxa" w:w="3322"/>
          </w:tcPr>
          <w:p>
            <w:pPr>
              <w:pStyle w:val="null3"/>
            </w:pPr>
            <w:r>
              <w:rPr>
                <w:rFonts w:ascii="仿宋_GB2312" w:hAnsi="仿宋_GB2312" w:cs="仿宋_GB2312" w:eastAsia="仿宋_GB2312"/>
              </w:rPr>
              <w:t>陕西省政府采购供应商拒绝政府采购领域商业贿赂承诺书并进行电子签章。</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其他材料.docx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法定代表人或授权委托人身份证明</w:t>
            </w:r>
          </w:p>
        </w:tc>
        <w:tc>
          <w:tcPr>
            <w:tcW w:type="dxa" w:w="3322"/>
          </w:tcPr>
          <w:p>
            <w:pPr>
              <w:pStyle w:val="null3"/>
            </w:pPr>
            <w:r>
              <w:rPr>
                <w:rFonts w:ascii="仿宋_GB2312" w:hAnsi="仿宋_GB2312" w:cs="仿宋_GB2312" w:eastAsia="仿宋_GB2312"/>
              </w:rPr>
              <w:t>供应商应授权合法的在职人员参加投标，其中法定代表人直接参加的，须出具法定代表人身份证原件，并与营业执照上信息一致；授权代表参加的，须出具法定代表人授权书及被授权人身份证原件；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供应商资格条件</w:t>
            </w:r>
          </w:p>
        </w:tc>
        <w:tc>
          <w:tcPr>
            <w:tcW w:type="dxa" w:w="3322"/>
          </w:tcPr>
          <w:p>
            <w:pPr>
              <w:pStyle w:val="null3"/>
            </w:pPr>
            <w:r>
              <w:rPr>
                <w:rFonts w:ascii="仿宋_GB2312" w:hAnsi="仿宋_GB2312" w:cs="仿宋_GB2312" w:eastAsia="仿宋_GB2312"/>
              </w:rPr>
              <w:t>供应商须具备建设行政主管部门颁发的工程勘察综合类甲级或工程勘察专业类（测量）乙级及以上资质和工程设计综合资质甲级或公路行业（公路）专业乙级及以上资质，在人员等方面具备相应的勘察设计能力，项目负责人具备公路工程相关技术职称；</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供应商拟派项目负责人具备公路工程相关专业的高级职称，且在本单位任职（提供相应证明材料）。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其他材料.docx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其他材料.docx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开标一览表 业绩一览表.docx 中小企业声明函 汉中市政府采购供应商资格承诺函.docx 投标人应提交的相关资格证明材料 主要人员简历表.docx 投标函 残疾人福利性单位声明函 服务方案 标的清单 投标文件封面 其他材料.docx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对项目总体有深刻认识理解透彻对建设背景、功能定位、技术标准设计思路等方面，方案新颖、合理可行、表述清晰、完整、严谨、思路清晰； 二、评审标准 完整性：方案须全面，对项目中的各项要求有详细描述及说明； 可实施性：切合本项目实际情况，实施步骤清晰； 针对性：方案能紧扣项目实际情况； 合理性：内容科学合理； 三、赋分标准（满分12分） 方案中每有一项内容缺失扣3分，方案内容要素中每存在一处缺陷扣0.5分，该分项分值扣完为止。 注：缺陷是指：存在项目名称错误、地点区域错误、内容与本项目需求无关、仅有框架或标题、适用的标准（方法）错误、内容错误表述前后不一致，明显复制其他项目内容等任意一种情形。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进度目标及措施</w:t>
            </w:r>
          </w:p>
        </w:tc>
        <w:tc>
          <w:tcPr>
            <w:tcW w:type="dxa" w:w="2492"/>
          </w:tcPr>
          <w:p>
            <w:pPr>
              <w:pStyle w:val="null3"/>
            </w:pPr>
            <w:r>
              <w:rPr>
                <w:rFonts w:ascii="仿宋_GB2312" w:hAnsi="仿宋_GB2312" w:cs="仿宋_GB2312" w:eastAsia="仿宋_GB2312"/>
              </w:rPr>
              <w:t>一、评审内容 结合本项目特点，制定科学合理的进度计划控制方案。满足采购文件服务期限要求、时间安排合理、工作组织流程清晰、便于把握和协调； 二、评审标准 完整性：方案须全面，对评审内容中的各项要求有详细描述及说明； 可实施性：切合本项目实际情况，实施步骤清晰、合理； 针对性：方案能够紧扣项目实际情况。 合理性：内容科学合理； 三、赋分标准（满分8分） 方案中每有一项内容缺失扣2分，方案内容要素中每存在一处缺陷扣0.5分，该分项分值扣完为止。 注：缺陷是指：存在项目名称错误、地点区域错误、内容与本项目需求无关、仅有框架或标题、适用的标准（方法）错误、内容错误表述前后不一致，明显复制其他项目内容等任意一种情形。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一、评审内容 针对本项目重点、难点、关键技术问题认识及应对措施的分析深入、透彻； 二、评审标准完整性：方案须全面，对评审内容中的各项要求有详细描述及 说明；可实施性：切合本项目实际情况，实施步骤清晰、合理； 针对性：方案能够紧扣项目实际情况。 合理性：内容科学合理； 三、赋分标准（满分8分）方案中每有一项内容缺失扣2分，方案内容要素中每存在一处缺陷扣0.5分，该分项分值扣完为止。 注：缺陷是指：存在项目名称错误、地点区域错误、内容与本项目需求无关、仅有框架或标题、适用的标准（方法）错误、内容错误表述前后不一致，明显复制其他项目内容等任意一种情形。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针对本项目提出质量方案，内容应当包括项目实施过程及成果编制过程。体系完整，质量保证措施可行、有效的； 二、评审标准 完整性：方案须全面，对评审内容中的各项要求有详细描述及说明； 可实施性：切合本项目实际情况，实施步骤清晰、合理； 针对性：方案能够紧扣项目实际情况。 合理性：内容科学合理； 三、赋分标准（满分8分）方案中每有一项内容缺失扣2分，方案内容要素中每存在一处缺陷扣0.5分，该分项分值扣完为止。 注：缺陷是指：存在项目名称错误、地点区域错误、内容与本项目需求无关、仅有框架或标题、适用的标准（方法）错误、内容错误表述前后不一致，明显复制其他项目内容等任意一种情形。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团队成员</w:t>
            </w:r>
          </w:p>
        </w:tc>
        <w:tc>
          <w:tcPr>
            <w:tcW w:type="dxa" w:w="2492"/>
          </w:tcPr>
          <w:p>
            <w:pPr>
              <w:pStyle w:val="null3"/>
            </w:pPr>
            <w:r>
              <w:rPr>
                <w:rFonts w:ascii="仿宋_GB2312" w:hAnsi="仿宋_GB2312" w:cs="仿宋_GB2312" w:eastAsia="仿宋_GB2312"/>
              </w:rPr>
              <w:t>一、评审内容 拟投入本项目团队组织架构、具体人员配置、资质背景、岗位职责、岗位工作流程、管理体系执行细则、项目负责人到场率承诺及保证承诺的措施等 二、评审标准 完整性：方案须全面，对评审内容中的各项要求有详细描述及说明； 可实施性：切合本项目实际情况，实施步骤清晰、合理； 针对性：方案能够紧扣项目实际情况。 合理性：内容科学合理； 三、赋分标准（满分10分） 方案中每有一项内容缺失扣2.5分，方案内容要素中每存在详细评审 一处缺陷扣0.5分，该分项分值扣完为止。 注：缺陷是指：存在项目名称错误、地点区域错误、内容与本项目需求无关、仅有框架或标题、人员配备不完整、内容错误表述前后不一致，明显复制其他项目内容等任意一种情形。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根据本项目特点，提供具有针对性、切实、可行性、有效性的合理化建议。 有效协助业主确保工程质量、控制工程规模、降低工程造价、减少设计变更等措施、后续服务工作安排及合理化建议。合理化建议内容科学合理、针对性强、可行性强、符合实际情况 二、评审标准 完整性：方案须全面，对评审内容中的各项要求有详细描述及说明； 针对性：方案能够紧扣项目实际情况； 合理性：内容科学合理； 三、赋分标准（满分6分） 方案中每有一项内容缺失扣2分，方案内容要素中每存在一处缺陷扣0.5分，该分项分值扣完为止。 注：缺陷是指：存在项目名称错误、地点区域错误、内容与本项目需求无关、仅有框架或标题、适用的标准（方法）错误、内容错误表述前后不一致，明显复制其他项目内容等任意一种情形。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针对本项目，配置专业团队负责后期跟踪服务，且跟踪服务保障制度完善、合理； 二、评审标准 完整性：方案须全面，对评审内容中的各项要求有详细描述及说明； 可实施性：切合本项目实际情况，实施步骤清晰、合理； 针对性：方案能够紧扣项目实际情况。 合理性：内容科学合理； 三、赋分标准（满分8分） 方案中每有一项内容缺失扣2分，方案内容要素中每存在一处缺陷扣0.5分，该分项分值扣完为止。 注：缺陷是指：存在项目名称错误、地点区域错误、内容与本项目需求无关、仅有框架或标题、适用的标准（方法）错误、内容错误表述前后不一致，明显复制其他项目内容等任意一种情形。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近3年类似业绩：供应商具有类似项目业绩，提供合同或成交通知书，(复印件加盖单位公章)。每提供一份得2分，不提供不得分；共计4分。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设计优化与造价控制</w:t>
            </w:r>
          </w:p>
        </w:tc>
        <w:tc>
          <w:tcPr>
            <w:tcW w:type="dxa" w:w="2492"/>
          </w:tcPr>
          <w:p>
            <w:pPr>
              <w:pStyle w:val="null3"/>
            </w:pPr>
            <w:r>
              <w:rPr>
                <w:rFonts w:ascii="仿宋_GB2312" w:hAnsi="仿宋_GB2312" w:cs="仿宋_GB2312" w:eastAsia="仿宋_GB2312"/>
              </w:rPr>
              <w:t>一、评审内容 针对本项目在满足功能的前提下进行技术经济比选、优化平面布局、造价控制、减少设计变更、优化方案，避免过度设计与浪费；二；评审标准 完整性：方案须全面，对评审内容中的各项要求有详细描述及说明； 可实施性：切合本项目实际情况，实施步骤清晰、合理； 针对性：方案能够紧扣项目实际情况。 合理性：内容科学合理； 三、赋分标准（满分8分） 方案中每有一项内容缺失扣2分，方案内容要素中每存在一处缺陷扣0.5分，该分项分值扣完为止。 注：缺陷是指：存在项目名称错误、地点区域错误、内容与本项目需求无关、仅有框架或标题、适用的标准（方法）错误、内容错误表述前后不一致，明显复制其他项目内容等任意一种情形。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安全与风险防控</w:t>
            </w:r>
          </w:p>
        </w:tc>
        <w:tc>
          <w:tcPr>
            <w:tcW w:type="dxa" w:w="2492"/>
          </w:tcPr>
          <w:p>
            <w:pPr>
              <w:pStyle w:val="null3"/>
            </w:pPr>
            <w:r>
              <w:rPr>
                <w:rFonts w:ascii="仿宋_GB2312" w:hAnsi="仿宋_GB2312" w:cs="仿宋_GB2312" w:eastAsia="仿宋_GB2312"/>
              </w:rPr>
              <w:t>一、评审内容 针对本项目山区地形重点强化路线安全、行车视距、边坡稳定、防洪抗灾、全面识别工程风险提高安全与可靠性； 二、评审标准 完整性：方案须全面，对评审内容中的各项要求有详细描述及说明； 可实施性：切合本项目实际情况，实施步骤清晰、合理； 针对性：方案能够紧扣项目实际情况。 合理性：内容科学合理； 三、赋分标准（满分8分） 方案中每有一项内容缺失扣2分，方案内容要素中每存在一处缺陷扣0.5分，该分项分值扣完为止。 注：缺陷是指：存在项目名称错误、地点区域错误、内容与本项目需求无关、仅有框架或标题、适用的标准（方法）错误、内容错误表述前后不一致，明显复制其他项目内容等任意一种情形。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满足招标文件要求且报价最低的供应商的价格为评标基准价，其价格分为满分。其他供应商的价格分统一按照下列公式计算： 投标报价得分=（评标基准价/投标报价）×价格满分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详见附件：建设工程设计合同示范文本　GF—2015—0210.docx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