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版本号：ZLJZB-26-00320260225001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镇巴县财政预算绩效管理服务项目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ZLJZB-26-003</w:t>
      </w:r>
      <w:r>
        <w:br/>
      </w:r>
      <w:r>
        <w:br/>
      </w:r>
      <w:r>
        <w:br/>
      </w:r>
    </w:p>
    <w:p>
      <w:pPr>
        <w:pStyle w:val="null3"/>
        <w:jc w:val="center"/>
        <w:outlineLvl w:val="2"/>
      </w:pPr>
      <w:r>
        <w:rPr>
          <w:rFonts w:ascii="仿宋_GB2312" w:hAnsi="仿宋_GB2312" w:cs="仿宋_GB2312" w:eastAsia="仿宋_GB2312"/>
          <w:sz w:val="28"/>
          <w:b/>
        </w:rPr>
        <w:t>镇巴县财政专项资金管理局</w:t>
      </w:r>
    </w:p>
    <w:p>
      <w:pPr>
        <w:pStyle w:val="null3"/>
        <w:jc w:val="center"/>
        <w:outlineLvl w:val="2"/>
      </w:pPr>
      <w:r>
        <w:rPr>
          <w:rFonts w:ascii="仿宋_GB2312" w:hAnsi="仿宋_GB2312" w:cs="仿宋_GB2312" w:eastAsia="仿宋_GB2312"/>
          <w:sz w:val="28"/>
          <w:b/>
        </w:rPr>
        <w:t>陕西中陆建项目管理有限公司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陕西中陆建项目管理有限公司</w:t>
      </w:r>
      <w:r>
        <w:rPr>
          <w:rFonts w:ascii="仿宋_GB2312" w:hAnsi="仿宋_GB2312" w:cs="仿宋_GB2312" w:eastAsia="仿宋_GB2312"/>
        </w:rPr>
        <w:t>（以下简称“代理机构”）受</w:t>
      </w:r>
      <w:r>
        <w:rPr>
          <w:rFonts w:ascii="仿宋_GB2312" w:hAnsi="仿宋_GB2312" w:cs="仿宋_GB2312" w:eastAsia="仿宋_GB2312"/>
        </w:rPr>
        <w:t>镇巴县财政专项资金管理局</w:t>
      </w:r>
      <w:r>
        <w:rPr>
          <w:rFonts w:ascii="仿宋_GB2312" w:hAnsi="仿宋_GB2312" w:cs="仿宋_GB2312" w:eastAsia="仿宋_GB2312"/>
        </w:rPr>
        <w:t>委托，拟对</w:t>
      </w:r>
      <w:r>
        <w:rPr>
          <w:rFonts w:ascii="仿宋_GB2312" w:hAnsi="仿宋_GB2312" w:cs="仿宋_GB2312" w:eastAsia="仿宋_GB2312"/>
        </w:rPr>
        <w:t>镇巴县财政预算绩效管理服务项目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ZLJZB-26-003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镇巴县财政预算绩效管理服务项目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拟通过全过程预算绩效管理服务对绩效管理工作水平提升优化，本次绩效评价涵盖一般公共预算、政府性基金预算、国有资本经营预算、社会保险基金预算、债券资金，在甲方的统一组织管理下，选取实施地点为镇巴县域内不超过25个项目支出和部门整体支出，其中成本绩效分析不少于4个，开展专业、严谨的绩效评价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采购包1（镇巴县财政预算绩效管理服务项目）：属于专门面向中小企业采购。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镇巴县财政专项资金管理局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镇巴县财政专项资金管理局经办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13379165277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陕西中陆建项目管理有限公司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陕西省汉中市汉台区汉中路街道办事处太白路百嘉汇B座5楼T33</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19991613331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开户名称：陕西中陆建项目管理有限公司</w:t>
            </w:r>
          </w:p>
          <w:p>
            <w:pPr>
              <w:pStyle w:val="null3"/>
            </w:pPr>
            <w:r>
              <w:rPr>
                <w:rFonts w:ascii="仿宋_GB2312" w:hAnsi="仿宋_GB2312" w:cs="仿宋_GB2312" w:eastAsia="仿宋_GB2312"/>
              </w:rPr>
              <w:t>开户银行：西安银行汉中分行营业部</w:t>
            </w:r>
          </w:p>
          <w:p>
            <w:pPr>
              <w:pStyle w:val="null3"/>
            </w:pPr>
            <w:r>
              <w:rPr>
                <w:rFonts w:ascii="仿宋_GB2312" w:hAnsi="仿宋_GB2312" w:cs="仿宋_GB2312" w:eastAsia="仿宋_GB2312"/>
              </w:rPr>
              <w:t>银行账号：451011580000073415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开户名称：陕西中陆建项目管理有限公司 开 户 行：中国农业银行股份有限公司汉中西环路支行 账 号：26605501040013837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镇巴县财政专项资金管理局</w:t>
      </w:r>
      <w:r>
        <w:rPr>
          <w:rFonts w:ascii="仿宋_GB2312" w:hAnsi="仿宋_GB2312" w:cs="仿宋_GB2312" w:eastAsia="仿宋_GB2312"/>
        </w:rPr>
        <w:t>和</w:t>
      </w:r>
      <w:r>
        <w:rPr>
          <w:rFonts w:ascii="仿宋_GB2312" w:hAnsi="仿宋_GB2312" w:cs="仿宋_GB2312" w:eastAsia="仿宋_GB2312"/>
        </w:rPr>
        <w:t>陕西中陆建项目管理有限公司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镇巴县财政专项资金管理局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陕西中陆建项目管理有限公司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镇巴县财政专项资金管理局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陕西中陆建项目管理有限公司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联系电话：19991613331</w:t>
      </w:r>
    </w:p>
    <w:p>
      <w:pPr>
        <w:pStyle w:val="null3"/>
      </w:pPr>
      <w:r>
        <w:rPr>
          <w:rFonts w:ascii="仿宋_GB2312" w:hAnsi="仿宋_GB2312" w:cs="仿宋_GB2312" w:eastAsia="仿宋_GB2312"/>
        </w:rPr>
        <w:t>地址：陕西省汉中市汉台区汉中路街道办事处太白路百嘉汇B座5楼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本次绩效评价涵盖一般公共预算</w:t>
      </w:r>
      <w:r>
        <w:rPr>
          <w:rFonts w:ascii="仿宋_GB2312" w:hAnsi="仿宋_GB2312" w:cs="仿宋_GB2312" w:eastAsia="仿宋_GB2312"/>
          <w:sz w:val="21"/>
        </w:rPr>
        <w:t>、</w:t>
      </w:r>
      <w:r>
        <w:rPr>
          <w:rFonts w:ascii="仿宋_GB2312" w:hAnsi="仿宋_GB2312" w:cs="仿宋_GB2312" w:eastAsia="仿宋_GB2312"/>
          <w:sz w:val="21"/>
        </w:rPr>
        <w:t>政府性基金预算</w:t>
      </w:r>
      <w:r>
        <w:rPr>
          <w:rFonts w:ascii="仿宋_GB2312" w:hAnsi="仿宋_GB2312" w:cs="仿宋_GB2312" w:eastAsia="仿宋_GB2312"/>
          <w:sz w:val="21"/>
        </w:rPr>
        <w:t>、</w:t>
      </w:r>
      <w:r>
        <w:rPr>
          <w:rFonts w:ascii="仿宋_GB2312" w:hAnsi="仿宋_GB2312" w:cs="仿宋_GB2312" w:eastAsia="仿宋_GB2312"/>
          <w:sz w:val="21"/>
        </w:rPr>
        <w:t>国有资本经营预算</w:t>
      </w:r>
      <w:r>
        <w:rPr>
          <w:rFonts w:ascii="仿宋_GB2312" w:hAnsi="仿宋_GB2312" w:cs="仿宋_GB2312" w:eastAsia="仿宋_GB2312"/>
          <w:sz w:val="21"/>
        </w:rPr>
        <w:t>、</w:t>
      </w:r>
      <w:r>
        <w:rPr>
          <w:rFonts w:ascii="仿宋_GB2312" w:hAnsi="仿宋_GB2312" w:cs="仿宋_GB2312" w:eastAsia="仿宋_GB2312"/>
          <w:sz w:val="21"/>
        </w:rPr>
        <w:t>社会保险基金预算</w:t>
      </w:r>
      <w:r>
        <w:rPr>
          <w:rFonts w:ascii="仿宋_GB2312" w:hAnsi="仿宋_GB2312" w:cs="仿宋_GB2312" w:eastAsia="仿宋_GB2312"/>
          <w:sz w:val="21"/>
        </w:rPr>
        <w:t>、</w:t>
      </w:r>
      <w:r>
        <w:rPr>
          <w:rFonts w:ascii="仿宋_GB2312" w:hAnsi="仿宋_GB2312" w:cs="仿宋_GB2312" w:eastAsia="仿宋_GB2312"/>
          <w:sz w:val="21"/>
        </w:rPr>
        <w:t>债券资金，在甲方的统一组织管理下，选取实施地点为镇巴县域内不超过</w:t>
      </w:r>
      <w:r>
        <w:rPr>
          <w:rFonts w:ascii="仿宋_GB2312" w:hAnsi="仿宋_GB2312" w:cs="仿宋_GB2312" w:eastAsia="仿宋_GB2312"/>
          <w:sz w:val="21"/>
        </w:rPr>
        <w:t>25个项目支出和部门整体支出，其中成本绩效分析不少于4个，开展专业、严谨的绩效评价工作。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财政预算绩效管理服务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标的名称：财政预算绩效管理服务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ind w:firstLine="420"/>
            </w:pPr>
            <w:r>
              <w:rPr>
                <w:rFonts w:ascii="仿宋_GB2312" w:hAnsi="仿宋_GB2312" w:cs="仿宋_GB2312" w:eastAsia="仿宋_GB2312"/>
                <w:sz w:val="21"/>
              </w:rPr>
              <w:t>根据《中共汉中市委、汉中市人民政府关于全面实施预算绩效管理的实施意见》</w:t>
            </w:r>
            <w:r>
              <w:rPr>
                <w:rFonts w:ascii="仿宋_GB2312" w:hAnsi="仿宋_GB2312" w:cs="仿宋_GB2312" w:eastAsia="仿宋_GB2312"/>
                <w:sz w:val="21"/>
              </w:rPr>
              <w:t>(汉发〔2019〕11号)及汉中市财政局《关于实施预算绩效管理试点县区工作的通知》要求，镇巴县拟通过全过程预算绩效管理服务，对绩效管理工作水平提升优化，包括但不限于重点项目绩效评价、绩效目标管理、事前绩效评估、事中绩效监控、自评复核、培训咨询服务等全过程管理服务。</w:t>
            </w:r>
          </w:p>
          <w:p>
            <w:pPr>
              <w:pStyle w:val="null3"/>
            </w:pPr>
            <w:r>
              <w:rPr>
                <w:rFonts w:ascii="仿宋_GB2312" w:hAnsi="仿宋_GB2312" w:cs="仿宋_GB2312" w:eastAsia="仿宋_GB2312"/>
                <w:sz w:val="21"/>
              </w:rPr>
              <w:t>二、法律法规依据</w:t>
            </w:r>
          </w:p>
          <w:p>
            <w:pPr>
              <w:pStyle w:val="null3"/>
            </w:pPr>
            <w:r>
              <w:rPr>
                <w:rFonts w:ascii="仿宋_GB2312" w:hAnsi="仿宋_GB2312" w:cs="仿宋_GB2312" w:eastAsia="仿宋_GB2312"/>
                <w:sz w:val="21"/>
              </w:rPr>
              <w:t>1、《中华人民共和国预算法》；</w:t>
            </w:r>
          </w:p>
          <w:p>
            <w:pPr>
              <w:pStyle w:val="null3"/>
            </w:pPr>
            <w:r>
              <w:rPr>
                <w:rFonts w:ascii="仿宋_GB2312" w:hAnsi="仿宋_GB2312" w:cs="仿宋_GB2312" w:eastAsia="仿宋_GB2312"/>
                <w:sz w:val="21"/>
              </w:rPr>
              <w:t>2、《中华人民共和国预算法实施条例》；</w:t>
            </w:r>
          </w:p>
          <w:p>
            <w:pPr>
              <w:pStyle w:val="null3"/>
            </w:pPr>
            <w:r>
              <w:rPr>
                <w:rFonts w:ascii="仿宋_GB2312" w:hAnsi="仿宋_GB2312" w:cs="仿宋_GB2312" w:eastAsia="仿宋_GB2312"/>
                <w:sz w:val="21"/>
              </w:rPr>
              <w:t>3、《中华人民共和国政府采购法》；</w:t>
            </w:r>
          </w:p>
          <w:p>
            <w:pPr>
              <w:pStyle w:val="null3"/>
            </w:pPr>
            <w:r>
              <w:rPr>
                <w:rFonts w:ascii="仿宋_GB2312" w:hAnsi="仿宋_GB2312" w:cs="仿宋_GB2312" w:eastAsia="仿宋_GB2312"/>
                <w:sz w:val="21"/>
              </w:rPr>
              <w:t>4、《中华人民共和国会计法》；</w:t>
            </w:r>
          </w:p>
          <w:p>
            <w:pPr>
              <w:pStyle w:val="null3"/>
            </w:pPr>
            <w:r>
              <w:rPr>
                <w:rFonts w:ascii="仿宋_GB2312" w:hAnsi="仿宋_GB2312" w:cs="仿宋_GB2312" w:eastAsia="仿宋_GB2312"/>
                <w:sz w:val="21"/>
              </w:rPr>
              <w:t>5、《中共中央国务院关于全面实施预算绩效管理的意见》；</w:t>
            </w:r>
          </w:p>
          <w:p>
            <w:pPr>
              <w:pStyle w:val="null3"/>
            </w:pPr>
            <w:r>
              <w:rPr>
                <w:rFonts w:ascii="仿宋_GB2312" w:hAnsi="仿宋_GB2312" w:cs="仿宋_GB2312" w:eastAsia="仿宋_GB2312"/>
                <w:sz w:val="21"/>
              </w:rPr>
              <w:t>6、《财政部&lt;关于委托第三方机构参与预算绩效管理的指导意见&gt;的通知》；</w:t>
            </w:r>
          </w:p>
          <w:p>
            <w:pPr>
              <w:pStyle w:val="null3"/>
            </w:pPr>
            <w:r>
              <w:rPr>
                <w:rFonts w:ascii="仿宋_GB2312" w:hAnsi="仿宋_GB2312" w:cs="仿宋_GB2312" w:eastAsia="仿宋_GB2312"/>
                <w:sz w:val="21"/>
              </w:rPr>
              <w:t>7、《财政部&lt;关于第三方机构预算绩效评价业务监督管理暂行办法&gt;的通知》；</w:t>
            </w:r>
          </w:p>
          <w:p>
            <w:pPr>
              <w:pStyle w:val="null3"/>
            </w:pPr>
            <w:r>
              <w:rPr>
                <w:rFonts w:ascii="仿宋_GB2312" w:hAnsi="仿宋_GB2312" w:cs="仿宋_GB2312" w:eastAsia="仿宋_GB2312"/>
                <w:sz w:val="21"/>
              </w:rPr>
              <w:t>8、《中共陕西省委陕西省人民政府关于全面实施预算绩效管理的实施意见》；</w:t>
            </w:r>
          </w:p>
          <w:p>
            <w:pPr>
              <w:pStyle w:val="null3"/>
            </w:pPr>
            <w:r>
              <w:rPr>
                <w:rFonts w:ascii="仿宋_GB2312" w:hAnsi="仿宋_GB2312" w:cs="仿宋_GB2312" w:eastAsia="仿宋_GB2312"/>
                <w:sz w:val="21"/>
              </w:rPr>
              <w:t>9、《陕西省财政项目支出绩效评价管理办法》；</w:t>
            </w:r>
          </w:p>
          <w:p>
            <w:pPr>
              <w:pStyle w:val="null3"/>
            </w:pPr>
            <w:r>
              <w:rPr>
                <w:rFonts w:ascii="仿宋_GB2312" w:hAnsi="仿宋_GB2312" w:cs="仿宋_GB2312" w:eastAsia="仿宋_GB2312"/>
                <w:sz w:val="21"/>
              </w:rPr>
              <w:t>10、《预算绩效评价质量控制办法（试行）》；</w:t>
            </w:r>
          </w:p>
          <w:p>
            <w:pPr>
              <w:pStyle w:val="null3"/>
            </w:pPr>
            <w:r>
              <w:rPr>
                <w:rFonts w:ascii="仿宋_GB2312" w:hAnsi="仿宋_GB2312" w:cs="仿宋_GB2312" w:eastAsia="仿宋_GB2312"/>
                <w:sz w:val="21"/>
              </w:rPr>
              <w:t>11、《中共汉中市委、汉中市人民政府关于全面实施预算绩效管理的实施意见》；</w:t>
            </w:r>
          </w:p>
          <w:p>
            <w:pPr>
              <w:pStyle w:val="null3"/>
            </w:pPr>
            <w:r>
              <w:rPr>
                <w:rFonts w:ascii="仿宋_GB2312" w:hAnsi="仿宋_GB2312" w:cs="仿宋_GB2312" w:eastAsia="仿宋_GB2312"/>
                <w:sz w:val="21"/>
              </w:rPr>
              <w:t>12、《汉中市财政局 关于实施预算绩效管理试点县区工作的通知》。</w:t>
            </w:r>
          </w:p>
          <w:p>
            <w:pPr>
              <w:pStyle w:val="null3"/>
            </w:pPr>
            <w:r>
              <w:rPr>
                <w:rFonts w:ascii="仿宋_GB2312" w:hAnsi="仿宋_GB2312" w:cs="仿宋_GB2312" w:eastAsia="仿宋_GB2312"/>
                <w:sz w:val="21"/>
              </w:rPr>
              <w:t>三、服务内容及要求</w:t>
            </w:r>
          </w:p>
          <w:p>
            <w:pPr>
              <w:pStyle w:val="null3"/>
              <w:ind w:firstLine="420"/>
            </w:pPr>
            <w:r>
              <w:rPr>
                <w:rFonts w:ascii="仿宋_GB2312" w:hAnsi="仿宋_GB2312" w:cs="仿宋_GB2312" w:eastAsia="仿宋_GB2312"/>
                <w:sz w:val="21"/>
              </w:rPr>
              <w:t>本项目由采购人安排专人担任项目联络员，负责与供应商具体对接服务有关事项</w:t>
            </w:r>
            <w:r>
              <w:rPr>
                <w:rFonts w:ascii="仿宋_GB2312" w:hAnsi="仿宋_GB2312" w:cs="仿宋_GB2312" w:eastAsia="仿宋_GB2312"/>
                <w:sz w:val="21"/>
              </w:rPr>
              <w:t>;供应商负责组织工作团队按照规定的进度、程序和方法实施绩效目标审核、事前绩效评估、事中绩效监控、自评复核、重点项目绩效评价等工作，保质保量完成以下服务内容: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重点项目绩效评价工作：本次绩效评价涵盖一般公共预算</w:t>
            </w:r>
            <w:r>
              <w:rPr>
                <w:rFonts w:ascii="仿宋_GB2312" w:hAnsi="仿宋_GB2312" w:cs="仿宋_GB2312" w:eastAsia="仿宋_GB2312"/>
                <w:sz w:val="21"/>
              </w:rPr>
              <w:t>、</w:t>
            </w:r>
            <w:r>
              <w:rPr>
                <w:rFonts w:ascii="仿宋_GB2312" w:hAnsi="仿宋_GB2312" w:cs="仿宋_GB2312" w:eastAsia="仿宋_GB2312"/>
                <w:sz w:val="21"/>
              </w:rPr>
              <w:t>政府性基金预算</w:t>
            </w:r>
            <w:r>
              <w:rPr>
                <w:rFonts w:ascii="仿宋_GB2312" w:hAnsi="仿宋_GB2312" w:cs="仿宋_GB2312" w:eastAsia="仿宋_GB2312"/>
                <w:sz w:val="21"/>
              </w:rPr>
              <w:t>、</w:t>
            </w:r>
            <w:r>
              <w:rPr>
                <w:rFonts w:ascii="仿宋_GB2312" w:hAnsi="仿宋_GB2312" w:cs="仿宋_GB2312" w:eastAsia="仿宋_GB2312"/>
                <w:sz w:val="21"/>
              </w:rPr>
              <w:t>国有资本经营预算</w:t>
            </w:r>
            <w:r>
              <w:rPr>
                <w:rFonts w:ascii="仿宋_GB2312" w:hAnsi="仿宋_GB2312" w:cs="仿宋_GB2312" w:eastAsia="仿宋_GB2312"/>
                <w:sz w:val="21"/>
              </w:rPr>
              <w:t>、</w:t>
            </w:r>
            <w:r>
              <w:rPr>
                <w:rFonts w:ascii="仿宋_GB2312" w:hAnsi="仿宋_GB2312" w:cs="仿宋_GB2312" w:eastAsia="仿宋_GB2312"/>
                <w:sz w:val="21"/>
              </w:rPr>
              <w:t>社会保险基金预算</w:t>
            </w:r>
            <w:r>
              <w:rPr>
                <w:rFonts w:ascii="仿宋_GB2312" w:hAnsi="仿宋_GB2312" w:cs="仿宋_GB2312" w:eastAsia="仿宋_GB2312"/>
                <w:sz w:val="21"/>
              </w:rPr>
              <w:t>、</w:t>
            </w:r>
            <w:r>
              <w:rPr>
                <w:rFonts w:ascii="仿宋_GB2312" w:hAnsi="仿宋_GB2312" w:cs="仿宋_GB2312" w:eastAsia="仿宋_GB2312"/>
                <w:sz w:val="21"/>
              </w:rPr>
              <w:t>债券资金，在甲方的统一组织管理下，选取实施地点为镇巴县域内不超过</w:t>
            </w:r>
            <w:r>
              <w:rPr>
                <w:rFonts w:ascii="仿宋_GB2312" w:hAnsi="仿宋_GB2312" w:cs="仿宋_GB2312" w:eastAsia="仿宋_GB2312"/>
                <w:sz w:val="21"/>
              </w:rPr>
              <w:t>25个项目支出和部门整体支出，其中成本绩效分析不少于4个，开展专业、严谨的绩效评价工作。乙方将精心制定科学合理的评价工作方案，设计规范、高效的评价流程，综合运用现场勘查、资料审查、数据分析等多种手段，全面、准确地实施现场与非现场评价。在此基础上，撰写逻辑严谨、内容详实、结论可靠的评价报告，并根据评价结论提出具有建设性的意见建议，同时积极配合接受报告综合考评，确保评价结果真实反映项目实际绩效水平。</w:t>
            </w:r>
          </w:p>
          <w:p>
            <w:pPr>
              <w:pStyle w:val="null3"/>
            </w:pPr>
            <w:r>
              <w:rPr>
                <w:rFonts w:ascii="仿宋_GB2312" w:hAnsi="仿宋_GB2312" w:cs="仿宋_GB2312" w:eastAsia="仿宋_GB2312"/>
                <w:sz w:val="21"/>
              </w:rPr>
              <w:t>(2)绩效管理服务。一是对选定重点评价部门辅助开展整体支出绩效目标表和该部门项目支出预算绩效目标表编制优化工作；二是协助对重大项目的绩效目标申报表进行审核；三是协助对</w:t>
            </w:r>
            <w:r>
              <w:rPr>
                <w:rFonts w:ascii="仿宋_GB2312" w:hAnsi="仿宋_GB2312" w:cs="仿宋_GB2312" w:eastAsia="仿宋_GB2312"/>
                <w:sz w:val="21"/>
              </w:rPr>
              <w:t>1</w:t>
            </w:r>
            <w:r>
              <w:rPr>
                <w:rFonts w:ascii="仿宋_GB2312" w:hAnsi="仿宋_GB2312" w:cs="仿宋_GB2312" w:eastAsia="仿宋_GB2312"/>
                <w:sz w:val="21"/>
              </w:rPr>
              <w:t>00</w:t>
            </w:r>
            <w:r>
              <w:rPr>
                <w:rFonts w:ascii="仿宋_GB2312" w:hAnsi="仿宋_GB2312" w:cs="仿宋_GB2312" w:eastAsia="仿宋_GB2312"/>
                <w:sz w:val="21"/>
              </w:rPr>
              <w:t>万元</w:t>
            </w:r>
            <w:r>
              <w:rPr>
                <w:rFonts w:ascii="仿宋_GB2312" w:hAnsi="仿宋_GB2312" w:cs="仿宋_GB2312" w:eastAsia="仿宋_GB2312"/>
                <w:sz w:val="21"/>
              </w:rPr>
              <w:t>以上县本级预算项目开展事前绩效评价审核；四是协助甲方扎实推进</w:t>
            </w:r>
            <w:r>
              <w:rPr>
                <w:rFonts w:ascii="仿宋_GB2312" w:hAnsi="仿宋_GB2312" w:cs="仿宋_GB2312" w:eastAsia="仿宋_GB2312"/>
                <w:sz w:val="21"/>
              </w:rPr>
              <w:t xml:space="preserve"> 2025 年度部门整体支出及项目支出自评复核工作，并分析存在的问题，提出具有前瞻性、可操作性的工作建议。</w:t>
            </w:r>
          </w:p>
          <w:p>
            <w:pPr>
              <w:pStyle w:val="null3"/>
              <w:jc w:val="both"/>
            </w:pPr>
            <w:r>
              <w:rPr>
                <w:rFonts w:ascii="仿宋_GB2312" w:hAnsi="仿宋_GB2312" w:cs="仿宋_GB2312" w:eastAsia="仿宋_GB2312"/>
                <w:sz w:val="21"/>
              </w:rPr>
              <w:t>(3)绩效业务能力提升工作。乙方在甲方组织下针对绩效管理中的工作内容开展专项培训和交流会,包括：绩效目标设置与审核、事前绩效评估、绩效监控、绩效自评专题等。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范要求的标准，由采购人组织验收，验收须以竞争性磋商文件、响应文件、合同、国家相应的标准、规范等为依据。采购人将严格按照政府采购相关法律法规的规定，按照采购文件要求及响应文件应答等内容进行验收。验收合格须交接项目实施的全部资料，并填写采购项目验收报告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乙方向甲方提供评价报告，经采购人审核且验收合格后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3、本项目所属行业为 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此项由采购代理机构开标现场查询）。</w:t>
            </w:r>
          </w:p>
        </w:tc>
        <w:tc>
          <w:tcPr>
            <w:tcW w:type="dxa" w:w="1661"/>
          </w:tcPr>
          <w:p>
            <w:pPr>
              <w:pStyle w:val="null3"/>
            </w:pPr>
            <w:r>
              <w:rPr>
                <w:rFonts w:ascii="仿宋_GB2312" w:hAnsi="仿宋_GB2312" w:cs="仿宋_GB2312" w:eastAsia="仿宋_GB2312"/>
              </w:rPr>
              <w:t>响应文件-资格证明文件.docx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响应文件-商务技术文件.docx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响应文件-商务技术文件.docx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响应函 响应文件-资格证明文件.docx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响应文件-商务技术文件.docx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响应函 响应文件-资格证明文件.docx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项目背景及现状</w:t>
            </w:r>
          </w:p>
        </w:tc>
        <w:tc>
          <w:tcPr>
            <w:tcW w:type="dxa" w:w="2492"/>
          </w:tcPr>
          <w:p>
            <w:pPr>
              <w:pStyle w:val="null3"/>
            </w:pPr>
            <w:r>
              <w:rPr>
                <w:rFonts w:ascii="仿宋_GB2312" w:hAnsi="仿宋_GB2312" w:cs="仿宋_GB2312" w:eastAsia="仿宋_GB2312"/>
              </w:rPr>
              <w:t>评审内容 针对本项目需求和总体认知，包括但不限于①对项目背景与相关政策解读；②服务内容的认知及项目现状调查分析。 评审标准 1.完整性：内容全面，对各方面有详细的描述和说明。 2.合理性：内容切合项目实际，思路清晰，科学合理。 3.针对性：切合项目特点和采购需求，针对性强。 赋分标准（满分9分） ①项目背景与相关政策解读：每完全满足一项评审标准得1.5分，满分4.5分；针对评审标准存在有不合理处的扣0.5分。 ②服务内容的认知及项目现状调查分析:每完全满足一项评审标准得1.5分，满分4.5分；针对评审标准存在有不合理处的扣0.5分。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供应商针对本项目的分析及用户需求的理解程度做出全面细致的服务方案，方案内容包括①绩效管理服务分析及目标②绩效管理服务内容、流程、方法及标准要求③服务计划安排④重难点分析及解决措施 评审标准 1.完整性:方案必须全面，对评审内容中的各项要求有详细描述。 2.可实施性:切合本项目实际情况，提出步骤清晰、合理的方案。 3.针对性:方案能够紧扣项目实际情况，内容科学合理。 赋分标准（满分15分） ①绩效管理服务分析及目标：每完全满足一项评审标准得1.5分，满分4.5分；针对评审标准存在有不合理处的扣0.5分。 ②绩效管理服务内容、流程、方法及标准要求：每完全满足一项评审标准得1.5分，满分4.5分；针对评审标准存在有不合理处的扣0.5分。 ③服务计划安排：每完全满足一项评审标准得1分，满分3分；针对评审标准存在有不合理处的扣0.5分。 ④重难点分析及解决措施：每完全满足一项评审标准得1分，满分3分；针对评审标准存在有不合理处的扣0.5分。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工作进度</w:t>
            </w:r>
          </w:p>
        </w:tc>
        <w:tc>
          <w:tcPr>
            <w:tcW w:type="dxa" w:w="2492"/>
          </w:tcPr>
          <w:p>
            <w:pPr>
              <w:pStyle w:val="null3"/>
            </w:pPr>
            <w:r>
              <w:rPr>
                <w:rFonts w:ascii="仿宋_GB2312" w:hAnsi="仿宋_GB2312" w:cs="仿宋_GB2312" w:eastAsia="仿宋_GB2312"/>
              </w:rPr>
              <w:t>评审内容 服务进度保障措施包括①总体及各阶段时间节点控制方法②绩效管理服务进度检查和评估措施 评审标准 1.完整性:工作计划必须全面，对评审内容中的各项要求有详细描述和说明。 2.合理性:切合本项目实际情况，提出步骤清晰、合理进度的方案。 3.针对性:进度控制程序规范严谨，完整有力紧扣项目特点和采购需求，针对性强。 赋分标准（满分6分） ①总体及各阶段时间节点控制方法：每完全满足一项评审标准得1分，满分3分；针对评审标准存在有不合理处的扣0.5分。 ②绩效管理服务进度检查和评估措施：每完全满足一项评审标准得1分，满分3分。针对评审标准存在有不合理处的扣0.5分。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 确保成果报告准确的服务质量方案包括①服务质量控制方案②服务质量保证措施 评审标准 1.完整性：服务质量方案及保障措施内容全面，对各方面有详细的描述和说明。 2.合理性：项目切合实际，思路清晰，科学合理。 3.针对性：方案能够紧扣项目实际情况，内容科学合理。 赋分标准（满分9分） ①服务质量控制方案：每完全满足一项评审标准得1.5分，满分4.5分；针对评审标准存在有不合理处的扣0.5分。 ②服务质量保证措施：每完全满足一项评审标准得1.5分，满分4.5分；针对评审标准存在有不合理处的扣0.5分。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廉洁从业措施及承诺</w:t>
            </w:r>
          </w:p>
        </w:tc>
        <w:tc>
          <w:tcPr>
            <w:tcW w:type="dxa" w:w="2492"/>
          </w:tcPr>
          <w:p>
            <w:pPr>
              <w:pStyle w:val="null3"/>
            </w:pPr>
            <w:r>
              <w:rPr>
                <w:rFonts w:ascii="仿宋_GB2312" w:hAnsi="仿宋_GB2312" w:cs="仿宋_GB2312" w:eastAsia="仿宋_GB2312"/>
              </w:rPr>
              <w:t>提供签署廉洁从业承诺、廉洁措施，包括但不限于项目负责人、相关技术人员的廉洁从业措施及管理办法。根据提供的措施内容全面，切合实际、思路清晰得3分；措施内容基本完整，有一定的可操作性得2分；措施内容简单、不够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成果报告及档案管理方案</w:t>
            </w:r>
          </w:p>
        </w:tc>
        <w:tc>
          <w:tcPr>
            <w:tcW w:type="dxa" w:w="2492"/>
          </w:tcPr>
          <w:p>
            <w:pPr>
              <w:pStyle w:val="null3"/>
            </w:pPr>
            <w:r>
              <w:rPr>
                <w:rFonts w:ascii="仿宋_GB2312" w:hAnsi="仿宋_GB2312" w:cs="仿宋_GB2312" w:eastAsia="仿宋_GB2312"/>
              </w:rPr>
              <w:t>评审内容： 成果报告及档案管理方案包括：成果档案的分类、保管和移交措施 评审标准： 1.完整性：方案须全面，对评审内容中的各项要求有详细描述及说明； 2.可实施性：切合本项目实际情况，实施步骤清晰、合理； 3.针对性：方案能够紧扣项目实际情况，内容科学合理。 赋分标准（满分3分） 成果档案的分类、保管和移交措施：每完全满足一项评审标准得1分，满分3分；针对评审标准存在有不合理处的扣0.5。 未提供，或明显存在不合理性的不得分。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1.项目负责人和技术负责人（6分） 拟派项目负责人和技术负责人具备中高级职称或注册会计师、评估师、律师、审计师、内审师、注册造价工程师、注册咨询工程师等相关行业管理部门认可的专业资质，每人得3分，本项最高得6分；（证书不重复计分） 2.团队其他成员（6分） 具有满足本项目服务的专业团队，提供拟派项目团队主要人员的详细名单及团队人员在本项目中负责的具体工作职责。团队其他成员具备中高级职称或注册会计师、评估师、律师、审计师、内审师、注册造价工程师、注册咨询工程师等相关行业管理部门认可的专业资质，每提供1个满足以上要求的人员得1.5分，本项最高得6分。注：以上人员不重复计分，响应文件中附以上所有人员的身份证、学历证、职称证、工作履历等相关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 供应商具有良好的管理制度，方案包括：①岗位职责：具有岗位工作标准、服务质量标准、现场质量控制体系②内控制度：问责机制、监督机制、自查制度③人员管理制度：具有员工日常管理办法、请销假制度、奖惩措施、激励机制④保密管理制度等。 评审标准 完整性：方案须全面，对评审内容中的各项要求有详细描述及说明； 可实施性：切合本标段实际情况，实施步骤清晰、合理； 针对性：方案能够紧扣标段实际情况，内容科学合理。 赋分标准（满分12分） ①岗位职责：每完全满足一个评审标准得1分，满分3分；针对评审标准存在有不合理处的扣0.5分。 ②内控制度:每完全满足一个评审标准得1分，满分3分；针对评审标准存在有不合理处的扣0.5分。 ③人员管理制度：每完全满足一个评审标准得1分，满分3分；针对评审标准存在有不合理处的扣0.5分。 ④保密管理制度:每完全满足一个评审标准得1分，满分3 分；针对评审标准存在有不合理处的扣0.5分。未提供，或明显存在不合理性的不得分。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 针对在绩效管理服务中可能遇到的紧急或意外情况，制定应急处置方案，方案包括：①因特殊紧急情况服务时限响应方案②有特殊的应急服务方案及补救措施。 评审标准 完整性：应急方案内容全面，对各方面有详细的描述和说明。 合理性：方案切合切合实际，思路清晰，科学合理。 针对性：方案紧扣项目特点和采购需求，针对性强。 赋分标准（满分3分） ①因特殊紧急情况服务时限响应方案：每完全满足一项评审标准得0.5分，满分1.5分；针对评审标准存在有不合理处的扣0.5分。 ②有特殊的应急服务方案及补救措施：每完全满足一项评审标准得0.5分，满分1.5分；针对评审标准存在有不合理处的扣0.5分。未提供，或明显存在不合理性的不得分。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针对本项目在服务工作中的常见问题进行梳理，具有的良好的解决方案并及时向采购人提出合理化建议，每提供一条有效且合理的建议得1分，满分3分。不提供不得分。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提供供应商2023年1月以来的类似项目业绩，每提供一个类似项目业绩的得2分，最高得6分。没有不得分；（提供成交通知书或合同复印件加盖公章为准）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后续服务承诺方案及相关保证措施包括①持续服务保障情况②响应时间③技术指导措施和后续服务人员保证。 评审标准 完整性：后续服务方案内容全面，对各方面有详细的描述和说明。 合理性：项目切合实际，思路清晰，科学合理。 针对性：紧扣项目特点和采购需求，针对性强。 赋分标准（满分9分） ①持续服务保障情况：每完全满足一项评审标准得1分，满分3分；针对评审标准存在有不合理处的扣0.5分。 ②响应时间：每完全满足一项评审标准得1分，满分3分；针对评审标准存在有不合理处的扣0.5分。 ③技术指导措施和后续服务人员保证：每完全满足一项评审标准得1分，满分3分；针对评审标准存在有不合理处的扣0.5分。未提供，或明显存在不合理性的不得分。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详见附件：响应文件-商务技术文件.docx</w:t>
      </w:r>
    </w:p>
    <w:p>
      <w:pPr>
        <w:pStyle w:val="null3"/>
        <w:ind w:firstLine="960"/>
      </w:pPr>
      <w:r>
        <w:rPr>
          <w:rFonts w:ascii="仿宋_GB2312" w:hAnsi="仿宋_GB2312" w:cs="仿宋_GB2312" w:eastAsia="仿宋_GB2312"/>
        </w:rPr>
        <w:t>详见附件：响应文件-资格证明文件.docx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