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pPr>
        <w:pStyle w:val="7"/>
        <w:pageBreakBefore w:val="0"/>
        <w:kinsoku/>
        <w:wordWrap/>
        <w:overflowPunct/>
        <w:topLinePunct w:val="0"/>
        <w:bidi w:val="0"/>
        <w:spacing w:before="120" w:beforeLines="50" w:line="360" w:lineRule="auto"/>
        <w:ind w:firstLine="420"/>
        <w:rPr>
          <w:rFonts w:hint="eastAsia" w:ascii="宋体" w:hAnsi="宋体" w:eastAsia="宋体"/>
          <w:sz w:val="21"/>
          <w:szCs w:val="21"/>
        </w:rPr>
      </w:pPr>
      <w:r>
        <w:rPr>
          <w:rFonts w:hint="eastAsia" w:ascii="宋体" w:hAnsi="宋体" w:eastAsia="宋体"/>
          <w:sz w:val="21"/>
          <w:szCs w:val="21"/>
        </w:rPr>
        <w:t>根据《中华人民共和国政府采购法》及实施条例、《中华人民共和国民法典》</w:t>
      </w:r>
      <w:r>
        <w:rPr>
          <w:rFonts w:hint="eastAsia" w:ascii="宋体" w:hAnsi="宋体"/>
          <w:sz w:val="21"/>
          <w:szCs w:val="21"/>
          <w:lang w:val="en-US" w:eastAsia="zh-CN"/>
        </w:rPr>
        <w:t>和镇巴县财政预算绩效管理服务项目</w:t>
      </w:r>
      <w:r>
        <w:rPr>
          <w:rFonts w:hint="eastAsia" w:ascii="宋体" w:hAnsi="宋体" w:eastAsia="宋体"/>
          <w:sz w:val="21"/>
          <w:szCs w:val="21"/>
        </w:rPr>
        <w:t>（采购项目编号：</w:t>
      </w:r>
      <w:r>
        <w:rPr>
          <w:rFonts w:hint="eastAsia" w:ascii="宋体" w:hAnsi="宋体"/>
          <w:sz w:val="21"/>
          <w:szCs w:val="21"/>
          <w:lang w:eastAsia="zh-CN"/>
        </w:rPr>
        <w:t>ZLJZB-26-003</w:t>
      </w:r>
      <w:r>
        <w:rPr>
          <w:rFonts w:hint="eastAsia" w:ascii="宋体" w:hAnsi="宋体" w:eastAsia="宋体"/>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pPr>
        <w:pageBreakBefore w:val="0"/>
        <w:numPr>
          <w:ilvl w:val="0"/>
          <w:numId w:val="1"/>
        </w:numPr>
        <w:kinsoku/>
        <w:wordWrap/>
        <w:overflowPunct/>
        <w:topLinePunct w:val="0"/>
        <w:bidi w:val="0"/>
        <w:spacing w:before="120" w:beforeLines="50" w:after="120" w:afterLines="50" w:line="360" w:lineRule="auto"/>
        <w:ind w:left="1519" w:hanging="1094"/>
        <w:rPr>
          <w:rFonts w:hint="eastAsia" w:ascii="宋体" w:hAnsi="宋体" w:eastAsia="宋体" w:cs="Times New Roman"/>
          <w:b/>
          <w:sz w:val="30"/>
          <w:szCs w:val="30"/>
        </w:rPr>
      </w:pPr>
      <w:r>
        <w:rPr>
          <w:rFonts w:hint="eastAsia" w:ascii="宋体" w:hAnsi="宋体" w:eastAsia="宋体" w:cs="Times New Roman"/>
          <w:b/>
          <w:sz w:val="30"/>
          <w:szCs w:val="30"/>
        </w:rPr>
        <w:t>项目基本情况</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镇巴县拟通过全过程预算绩效管理服务对绩效管理工作水平提升优化，本次绩效评价涵盖</w:t>
      </w:r>
      <w:bookmarkStart w:id="68" w:name="_GoBack"/>
      <w:bookmarkEnd w:id="68"/>
      <w:r>
        <w:rPr>
          <w:rFonts w:hint="eastAsia" w:hAnsi="宋体" w:cs="宋体"/>
          <w:color w:val="auto"/>
          <w:kern w:val="2"/>
          <w:sz w:val="21"/>
          <w:szCs w:val="21"/>
          <w:lang w:val="en-US" w:eastAsia="zh-CN" w:bidi="ar-SA"/>
        </w:rPr>
        <w:t>一般公共预算、政府性基金预算、国有资本经营预算、社会保险基金预算、债券资金</w:t>
      </w:r>
      <w:r>
        <w:rPr>
          <w:rFonts w:hint="eastAsia" w:ascii="宋体" w:hAnsi="宋体" w:eastAsia="宋体" w:cs="宋体"/>
          <w:color w:val="auto"/>
          <w:kern w:val="2"/>
          <w:sz w:val="21"/>
          <w:szCs w:val="21"/>
          <w:lang w:val="en-US" w:eastAsia="zh-CN" w:bidi="ar-SA"/>
        </w:rPr>
        <w:t>，在甲方的统一组织管理下，选取实施地点为镇巴县域内不超过25个项目支出和部门整体支出，其中成本绩效分析不少于4个，开展专业、严谨的绩效评价工作。</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bookmarkStart w:id="0" w:name="_Toc29385_WPSOffice_Level2"/>
      <w:r>
        <w:rPr>
          <w:rFonts w:hint="eastAsia" w:ascii="宋体" w:hAnsi="宋体" w:eastAsia="宋体" w:cs="Times New Roman"/>
          <w:b/>
          <w:color w:val="auto"/>
          <w:sz w:val="30"/>
          <w:szCs w:val="30"/>
          <w:highlight w:val="none"/>
        </w:rPr>
        <w:t>合同期限</w:t>
      </w:r>
      <w:bookmarkEnd w:id="0"/>
    </w:p>
    <w:p>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服务期限：</w:t>
      </w:r>
      <w:r>
        <w:rPr>
          <w:rFonts w:hint="eastAsia" w:ascii="宋体" w:hAnsi="宋体" w:cs="宋体"/>
          <w:color w:val="auto"/>
          <w:kern w:val="2"/>
          <w:sz w:val="21"/>
          <w:szCs w:val="21"/>
          <w:highlight w:val="none"/>
          <w:lang w:val="en-US" w:eastAsia="zh-CN" w:bidi="ar-SA"/>
        </w:rPr>
        <w:t>自合同签订之日起一年</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1" w:name="_Toc2495_WPSOffice_Level2"/>
      <w:bookmarkStart w:id="2" w:name="_Toc211854449"/>
      <w:bookmarkStart w:id="3" w:name="_Toc283019214"/>
      <w:bookmarkStart w:id="4" w:name="_Toc239233914"/>
      <w:bookmarkStart w:id="5" w:name="_Toc211911348"/>
      <w:bookmarkStart w:id="6" w:name="_Toc238984975"/>
      <w:bookmarkStart w:id="7" w:name="_Toc286993786"/>
      <w:bookmarkStart w:id="8" w:name="_Toc241833903"/>
      <w:bookmarkStart w:id="9" w:name="_Toc247334841"/>
      <w:bookmarkStart w:id="10" w:name="_Toc225654644"/>
      <w:bookmarkStart w:id="11" w:name="_Toc251768862"/>
      <w:bookmarkStart w:id="12" w:name="_Toc185395249"/>
      <w:bookmarkStart w:id="13" w:name="_Toc239568418"/>
      <w:bookmarkStart w:id="14" w:name="_Toc232492928"/>
      <w:bookmarkStart w:id="15" w:name="_Toc225244852"/>
      <w:bookmarkStart w:id="16" w:name="_Toc225670751"/>
      <w:bookmarkStart w:id="17" w:name="_Toc237145406"/>
      <w:bookmarkStart w:id="18" w:name="_Toc212019594"/>
      <w:bookmarkStart w:id="19" w:name="_Toc282696226"/>
      <w:r>
        <w:rPr>
          <w:rFonts w:hint="eastAsia" w:ascii="宋体" w:hAnsi="宋体" w:eastAsia="宋体" w:cs="Times New Roman"/>
          <w:b/>
          <w:color w:val="auto"/>
          <w:sz w:val="30"/>
          <w:szCs w:val="30"/>
          <w:highlight w:val="none"/>
        </w:rPr>
        <w:t>服务内容与质量标准</w:t>
      </w:r>
      <w:bookmarkEnd w:id="1"/>
    </w:p>
    <w:p>
      <w:pPr>
        <w:pageBreakBefore w:val="0"/>
        <w:kinsoku/>
        <w:wordWrap/>
        <w:overflowPunct/>
        <w:topLinePunct w:val="0"/>
        <w:bidi w:val="0"/>
        <w:snapToGrid/>
        <w:spacing w:line="360" w:lineRule="auto"/>
        <w:ind w:firstLine="630" w:firstLineChars="3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pPr>
        <w:pageBreakBefore w:val="0"/>
        <w:numPr>
          <w:ilvl w:val="0"/>
          <w:numId w:val="1"/>
        </w:numPr>
        <w:kinsoku/>
        <w:wordWrap/>
        <w:overflowPunct/>
        <w:topLinePunct w:val="0"/>
        <w:bidi w:val="0"/>
        <w:snapToGrid/>
        <w:spacing w:before="120" w:beforeLines="50" w:after="120" w:afterLines="50" w:line="360" w:lineRule="auto"/>
        <w:ind w:left="1661" w:hanging="1094"/>
        <w:rPr>
          <w:rFonts w:hint="eastAsia" w:ascii="宋体" w:hAnsi="宋体" w:eastAsia="宋体" w:cs="Times New Roman"/>
          <w:b/>
          <w:color w:val="auto"/>
          <w:sz w:val="30"/>
          <w:szCs w:val="30"/>
          <w:highlight w:val="none"/>
        </w:rPr>
      </w:pPr>
      <w:bookmarkStart w:id="20" w:name="_Toc14493_WPSOffice_Level2"/>
      <w:r>
        <w:rPr>
          <w:rFonts w:hint="eastAsia" w:ascii="宋体" w:hAnsi="宋体" w:eastAsia="宋体" w:cs="Times New Roman"/>
          <w:b/>
          <w:color w:val="auto"/>
          <w:sz w:val="30"/>
          <w:szCs w:val="30"/>
          <w:highlight w:val="none"/>
        </w:rPr>
        <w:t>服务费用</w:t>
      </w:r>
      <w:bookmarkEnd w:id="20"/>
    </w:p>
    <w:p>
      <w:pPr>
        <w:keepNext/>
        <w:keepLines/>
        <w:pageBreakBefore w:val="0"/>
        <w:widowControl w:val="0"/>
        <w:kinsoku/>
        <w:wordWrap/>
        <w:overflowPunct/>
        <w:topLinePunct w:val="0"/>
        <w:bidi w:val="0"/>
        <w:snapToGrid/>
        <w:spacing w:before="0" w:after="0" w:line="312" w:lineRule="auto"/>
        <w:ind w:firstLine="411" w:firstLineChars="196"/>
        <w:jc w:val="both"/>
        <w:outlineLvl w:val="1"/>
        <w:rPr>
          <w:rFonts w:hint="eastAsia" w:ascii="宋体" w:hAnsi="宋体" w:eastAsia="黑体" w:cs="Times New Roman"/>
          <w:b/>
          <w:color w:val="auto"/>
          <w:kern w:val="2"/>
          <w:sz w:val="28"/>
          <w:szCs w:val="21"/>
          <w:highlight w:val="none"/>
          <w:lang w:val="en-US" w:eastAsia="zh-CN" w:bidi="ar-SA"/>
        </w:rPr>
      </w:pPr>
      <w:bookmarkStart w:id="21" w:name="_Toc18032_WPSOffice_Level2"/>
      <w:r>
        <w:rPr>
          <w:rFonts w:hint="eastAsia" w:ascii="宋体" w:hAnsi="宋体" w:eastAsia="宋体" w:cs="Times New Roman"/>
          <w:b w:val="0"/>
          <w:color w:val="auto"/>
          <w:kern w:val="2"/>
          <w:sz w:val="21"/>
          <w:szCs w:val="21"/>
          <w:highlight w:val="none"/>
          <w:lang w:val="en-US" w:eastAsia="zh-CN" w:bidi="ar-SA"/>
        </w:rPr>
        <w:t xml:space="preserve"> 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2" w:name="OLE_LINK12"/>
      <w:r>
        <w:rPr>
          <w:rFonts w:hint="eastAsia" w:ascii="宋体" w:hAnsi="宋体" w:eastAsia="宋体" w:cs="Times New Roman"/>
          <w:color w:val="auto"/>
          <w:szCs w:val="21"/>
          <w:highlight w:val="none"/>
        </w:rPr>
        <w:t>含乙方后期服务费用。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b/>
          <w:color w:val="auto"/>
          <w:sz w:val="30"/>
          <w:szCs w:val="30"/>
          <w:highlight w:val="none"/>
        </w:rPr>
      </w:pPr>
      <w:r>
        <w:rPr>
          <w:rFonts w:hint="eastAsia" w:ascii="宋体" w:hAnsi="宋体" w:eastAsia="宋体" w:cs="Times New Roman"/>
          <w:color w:val="auto"/>
          <w:szCs w:val="21"/>
          <w:highlight w:val="none"/>
        </w:rPr>
        <w:t>4.本合同执行期间合同价款</w:t>
      </w:r>
      <w:bookmarkEnd w:id="22"/>
      <w:r>
        <w:rPr>
          <w:rFonts w:hint="eastAsia" w:ascii="宋体" w:hAnsi="宋体" w:eastAsia="宋体" w:cs="Times New Roman"/>
          <w:color w:val="auto"/>
          <w:szCs w:val="21"/>
          <w:highlight w:val="none"/>
        </w:rPr>
        <w:t>不变，甲方无须另向乙方支付本合同规定之外的其他任何费用。</w:t>
      </w:r>
    </w:p>
    <w:p>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1"/>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付款条件说明：</w:t>
      </w:r>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1.合同签订生效后，达到付款条件起30日内，支付合同总金额的40.00%。</w:t>
      </w:r>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2.乙方向甲方提供评价报告，经采购人审核且验收合格后，达到付款条件起 30 日内，支付合同总金额的 60.00%。</w:t>
      </w:r>
    </w:p>
    <w:p>
      <w:pPr>
        <w:pageBreakBefore w:val="0"/>
        <w:kinsoku/>
        <w:wordWrap/>
        <w:overflowPunct/>
        <w:topLinePunct w:val="0"/>
        <w:bidi w:val="0"/>
        <w:snapToGrid/>
        <w:spacing w:line="360" w:lineRule="auto"/>
        <w:ind w:firstLine="735" w:firstLineChars="3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采用银行转账支付方式</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3" w:name="_Toc11429_WPSOffice_Level2"/>
      <w:r>
        <w:rPr>
          <w:rFonts w:hint="eastAsia" w:ascii="宋体" w:hAnsi="宋体" w:eastAsia="宋体" w:cs="Times New Roman"/>
          <w:b/>
          <w:color w:val="auto"/>
          <w:sz w:val="30"/>
          <w:szCs w:val="30"/>
          <w:highlight w:val="none"/>
        </w:rPr>
        <w:t>第六条   知识产权</w:t>
      </w:r>
      <w:bookmarkEnd w:id="23"/>
    </w:p>
    <w:p>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4"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4"/>
    </w:p>
    <w:p>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5" w:name="_Toc9129_WPSOffice_Level2"/>
      <w:r>
        <w:rPr>
          <w:rFonts w:hint="eastAsia" w:ascii="宋体" w:hAnsi="宋体" w:eastAsia="宋体" w:cs="Times New Roman"/>
          <w:b/>
          <w:color w:val="auto"/>
          <w:sz w:val="30"/>
          <w:szCs w:val="30"/>
          <w:highlight w:val="none"/>
        </w:rPr>
        <w:t>第八条   履约保证金</w:t>
      </w:r>
      <w:bookmarkEnd w:id="25"/>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6"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6"/>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7"/>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8"/>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9" w:name="_Toc20320_WPSOffice_Level2"/>
      <w:r>
        <w:rPr>
          <w:rFonts w:hint="eastAsia" w:ascii="宋体" w:hAnsi="宋体" w:eastAsia="宋体" w:cs="Times New Roman"/>
          <w:b/>
          <w:color w:val="auto"/>
          <w:sz w:val="30"/>
          <w:szCs w:val="30"/>
          <w:highlight w:val="none"/>
        </w:rPr>
        <w:t>第十二条  不可抗力事件处理</w:t>
      </w:r>
      <w:bookmarkEnd w:id="29"/>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0" w:name="_Toc212019599"/>
      <w:bookmarkStart w:id="31" w:name="_Toc247334846"/>
      <w:bookmarkStart w:id="32" w:name="_Toc225670756"/>
      <w:bookmarkStart w:id="33" w:name="_Toc286993792"/>
      <w:bookmarkStart w:id="34" w:name="_Toc225654649"/>
      <w:bookmarkStart w:id="35" w:name="_Toc185395254"/>
      <w:bookmarkStart w:id="36" w:name="_Toc239568423"/>
      <w:bookmarkStart w:id="37" w:name="_Toc239233919"/>
      <w:bookmarkStart w:id="38" w:name="_Toc211911353"/>
      <w:bookmarkStart w:id="39" w:name="_Toc237145411"/>
      <w:bookmarkStart w:id="40" w:name="_Toc241833908"/>
      <w:bookmarkStart w:id="41" w:name="_Toc232492933"/>
      <w:bookmarkStart w:id="42" w:name="_Toc211854454"/>
      <w:bookmarkStart w:id="43" w:name="_Toc238984980"/>
      <w:bookmarkStart w:id="44" w:name="_Toc251768867"/>
      <w:bookmarkStart w:id="45" w:name="_Toc225244857"/>
      <w:r>
        <w:rPr>
          <w:rFonts w:hint="eastAsia" w:ascii="宋体" w:hAnsi="宋体" w:eastAsia="宋体" w:cs="Times New Roman"/>
          <w:b/>
          <w:color w:val="auto"/>
          <w:sz w:val="30"/>
          <w:szCs w:val="30"/>
          <w:highlight w:val="none"/>
        </w:rPr>
        <w:t xml:space="preserve">   </w:t>
      </w:r>
      <w:bookmarkStart w:id="46"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6"/>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7"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w:t>
      </w:r>
      <w:r>
        <w:rPr>
          <w:rFonts w:ascii="宋体" w:hAnsi="宋体" w:eastAsia="宋体" w:cs="Times New Roman"/>
          <w:b/>
          <w:color w:val="auto"/>
          <w:szCs w:val="21"/>
          <w:highlight w:val="none"/>
        </w:rPr>
        <w:t>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8" w:name="_Toc239568424"/>
      <w:bookmarkStart w:id="49" w:name="_Toc251768868"/>
      <w:bookmarkStart w:id="50" w:name="_Toc225244858"/>
      <w:bookmarkStart w:id="51" w:name="_Toc286993793"/>
      <w:bookmarkStart w:id="52" w:name="_Toc185395255"/>
      <w:bookmarkStart w:id="53" w:name="_Toc211911354"/>
      <w:bookmarkStart w:id="54" w:name="_Toc212019600"/>
      <w:bookmarkStart w:id="55" w:name="_Toc239233920"/>
      <w:bookmarkStart w:id="56" w:name="_Toc225670757"/>
      <w:bookmarkStart w:id="57" w:name="_Toc237145412"/>
      <w:bookmarkStart w:id="58" w:name="_Toc232492934"/>
      <w:bookmarkStart w:id="59" w:name="_Toc211854455"/>
      <w:bookmarkStart w:id="60" w:name="_Toc283019219"/>
      <w:bookmarkStart w:id="61" w:name="_Toc225654650"/>
      <w:bookmarkStart w:id="62" w:name="_Toc247334847"/>
      <w:bookmarkStart w:id="63" w:name="_Toc282696231"/>
      <w:bookmarkStart w:id="64" w:name="_Toc238984981"/>
      <w:bookmarkStart w:id="65" w:name="_Toc241833909"/>
      <w:bookmarkStart w:id="66"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Times New Roman"/>
          <w:b/>
          <w:color w:val="auto"/>
          <w:sz w:val="30"/>
          <w:szCs w:val="30"/>
          <w:highlight w:val="none"/>
        </w:rPr>
        <w:t>生效及其他</w:t>
      </w:r>
      <w:bookmarkEnd w:id="66"/>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7" w:name="_Toc25105_WPSOffice_Level2"/>
      <w:r>
        <w:rPr>
          <w:rFonts w:hint="eastAsia" w:ascii="宋体" w:hAnsi="宋体" w:eastAsia="宋体" w:cs="Times New Roman"/>
          <w:b/>
          <w:color w:val="auto"/>
          <w:sz w:val="30"/>
          <w:szCs w:val="30"/>
          <w:highlight w:val="none"/>
        </w:rPr>
        <w:t>第十五条  附件</w:t>
      </w:r>
      <w:bookmarkEnd w:id="67"/>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签约日期：    年  月  日</w:t>
      </w:r>
    </w:p>
    <w:p>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304" w:bottom="1440" w:left="1191" w:header="851" w:footer="992" w:gutter="0"/>
          <w:pgNumType w:fmt="decimal"/>
          <w:cols w:space="720" w:num="1"/>
          <w:titlePg/>
          <w:rtlGutter w:val="0"/>
          <w:docGrid w:linePitch="1" w:charSpace="0"/>
        </w:sectPr>
      </w:pPr>
    </w:p>
    <w:p>
      <w:pPr>
        <w:rPr>
          <w:rFonts w:hint="eastAsia" w:ascii="黑体" w:hAnsi="宋体" w:eastAsia="黑体"/>
          <w:sz w:val="28"/>
          <w:szCs w:val="28"/>
        </w:rPr>
      </w:pPr>
      <w:r>
        <w:rPr>
          <w:rFonts w:hint="eastAsia" w:ascii="黑体" w:hAnsi="宋体" w:eastAsia="黑体"/>
          <w:sz w:val="28"/>
          <w:szCs w:val="28"/>
        </w:rPr>
        <w:t>附件1：</w:t>
      </w:r>
    </w:p>
    <w:p>
      <w:pPr>
        <w:jc w:val="center"/>
        <w:rPr>
          <w:rFonts w:hint="eastAsia" w:ascii="黑体" w:hAnsi="宋体" w:eastAsia="黑体"/>
          <w:sz w:val="36"/>
          <w:szCs w:val="36"/>
        </w:rPr>
      </w:pPr>
      <w:r>
        <w:rPr>
          <w:rFonts w:hint="eastAsia" w:ascii="黑体" w:hAnsi="宋体" w:eastAsia="黑体"/>
          <w:sz w:val="36"/>
          <w:szCs w:val="36"/>
        </w:rPr>
        <w:t>政府采购履约担保函</w:t>
      </w:r>
    </w:p>
    <w:p>
      <w:pPr>
        <w:rPr>
          <w:rFonts w:hint="eastAsia"/>
        </w:rPr>
      </w:pPr>
      <w:r>
        <w:rPr>
          <w:rFonts w:hint="eastAsia"/>
        </w:rPr>
        <w:t xml:space="preserve">                                                            </w:t>
      </w:r>
    </w:p>
    <w:p>
      <w:pPr>
        <w:ind w:firstLine="6615" w:firstLineChars="3150"/>
        <w:rPr>
          <w:rFonts w:hint="eastAsia"/>
          <w:szCs w:val="21"/>
        </w:rPr>
      </w:pPr>
      <w:r>
        <w:rPr>
          <w:rFonts w:hint="eastAsia"/>
          <w:szCs w:val="21"/>
        </w:rPr>
        <w:t xml:space="preserve"> 编号：</w:t>
      </w:r>
    </w:p>
    <w:p>
      <w:pPr>
        <w:rPr>
          <w:szCs w:val="21"/>
        </w:rPr>
      </w:pP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rPr>
          <w:rFonts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pPr>
        <w:spacing w:line="360" w:lineRule="auto"/>
        <w:rPr>
          <w:rFonts w:hint="eastAsia" w:ascii="宋体" w:hAnsi="宋体"/>
          <w:szCs w:val="21"/>
        </w:rPr>
      </w:pPr>
      <w:r>
        <w:rPr>
          <w:rFonts w:hint="eastAsia" w:ascii="宋体" w:hAnsi="宋体"/>
          <w:szCs w:val="21"/>
        </w:rPr>
        <w:t xml:space="preserve">　　2.主合同约定的应当缴纳履约保证金的情形: </w:t>
      </w:r>
    </w:p>
    <w:p>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pPr>
        <w:spacing w:line="360" w:lineRule="auto"/>
        <w:rPr>
          <w:rFonts w:hint="eastAsia" w:ascii="宋体" w:hAnsi="宋体"/>
          <w:szCs w:val="21"/>
        </w:rPr>
      </w:pPr>
    </w:p>
    <w:p>
      <w:pPr>
        <w:spacing w:line="360" w:lineRule="auto"/>
        <w:ind w:firstLine="5250" w:firstLineChars="2500"/>
        <w:rPr>
          <w:rFonts w:hint="eastAsia" w:ascii="宋体" w:hAnsi="宋体"/>
          <w:szCs w:val="21"/>
        </w:rPr>
      </w:pPr>
      <w:r>
        <w:rPr>
          <w:rFonts w:hint="eastAsia" w:ascii="宋体" w:hAnsi="宋体"/>
          <w:szCs w:val="21"/>
        </w:rPr>
        <w:t>保证人：（盖单位章）</w:t>
      </w:r>
    </w:p>
    <w:p>
      <w:pPr>
        <w:spacing w:line="360" w:lineRule="auto"/>
        <w:rPr>
          <w:rFonts w:hint="eastAsia" w:ascii="宋体" w:hAnsi="宋体"/>
          <w:szCs w:val="21"/>
        </w:rPr>
      </w:pPr>
      <w:r>
        <w:rPr>
          <w:rFonts w:hint="eastAsia" w:ascii="宋体" w:hAnsi="宋体"/>
          <w:szCs w:val="21"/>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C3FC0"/>
    <w:rsid w:val="122B3367"/>
    <w:rsid w:val="26F64ECA"/>
    <w:rsid w:val="27B4004D"/>
    <w:rsid w:val="32F524DF"/>
    <w:rsid w:val="39892A3E"/>
    <w:rsid w:val="4CD8763A"/>
    <w:rsid w:val="57DB296D"/>
    <w:rsid w:val="68F54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4"/>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2025-07-10T01:45:00Z</dcterms:created>
  <dc:creator>Administrator</dc:creator>
  <cp:lastModifiedBy>皓月</cp:lastModifiedBy>
  <dcterms:modified xsi:type="dcterms:W3CDTF">2026-02-26T08:09:05Z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