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版本号：YSY2026-CG-00820260311001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生活垃圾填埋场（焚烧厂）自行监测服务项目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YSY2026-CG-008</w:t>
      </w:r>
      <w:r>
        <w:br/>
      </w:r>
      <w:r>
        <w:br/>
      </w:r>
      <w:r>
        <w:br/>
      </w:r>
    </w:p>
    <w:p>
      <w:pPr>
        <w:pStyle w:val="null3"/>
        <w:jc w:val="center"/>
        <w:outlineLvl w:val="2"/>
      </w:pPr>
      <w:r>
        <w:rPr>
          <w:rFonts w:ascii="仿宋_GB2312" w:hAnsi="仿宋_GB2312" w:cs="仿宋_GB2312" w:eastAsia="仿宋_GB2312"/>
          <w:sz w:val="28"/>
          <w:b/>
        </w:rPr>
        <w:t>镇巴县市政工程管理站</w:t>
      </w:r>
    </w:p>
    <w:p>
      <w:pPr>
        <w:pStyle w:val="null3"/>
        <w:jc w:val="center"/>
        <w:outlineLvl w:val="2"/>
      </w:pPr>
      <w:r>
        <w:rPr>
          <w:rFonts w:ascii="仿宋_GB2312" w:hAnsi="仿宋_GB2312" w:cs="仿宋_GB2312" w:eastAsia="仿宋_GB2312"/>
          <w:sz w:val="28"/>
          <w:b/>
        </w:rPr>
        <w:t>陕西亿胜元项目管理有限公司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陕西亿胜元项目管理有限公司</w:t>
      </w:r>
      <w:r>
        <w:rPr>
          <w:rFonts w:ascii="仿宋_GB2312" w:hAnsi="仿宋_GB2312" w:cs="仿宋_GB2312" w:eastAsia="仿宋_GB2312"/>
        </w:rPr>
        <w:t>（以下简称“代理机构”）受</w:t>
      </w:r>
      <w:r>
        <w:rPr>
          <w:rFonts w:ascii="仿宋_GB2312" w:hAnsi="仿宋_GB2312" w:cs="仿宋_GB2312" w:eastAsia="仿宋_GB2312"/>
        </w:rPr>
        <w:t>镇巴县市政工程管理站</w:t>
      </w:r>
      <w:r>
        <w:rPr>
          <w:rFonts w:ascii="仿宋_GB2312" w:hAnsi="仿宋_GB2312" w:cs="仿宋_GB2312" w:eastAsia="仿宋_GB2312"/>
        </w:rPr>
        <w:t>委托，拟对</w:t>
      </w:r>
      <w:r>
        <w:rPr>
          <w:rFonts w:ascii="仿宋_GB2312" w:hAnsi="仿宋_GB2312" w:cs="仿宋_GB2312" w:eastAsia="仿宋_GB2312"/>
        </w:rPr>
        <w:t>生活垃圾填埋场（焚烧厂）自行监测服务项目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YSY2026-CG-008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生活垃圾填埋场（焚烧厂）自行监测服务项目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认真履行法定义务和社会责任，根据国家环保部等有关规定和要求，我单位委托第三方检测机构依据排污许可证规定内容及国家相应法律、法规的规定对镇巴县市政工程管理站生活垃圾填埋场提供年度排污检测，包括出具国家认可的检测报告(按照国家、省、市、区环保部门排污检测要求实施检测)和组织响应一切国家、省、市、区环保部门和镇巴县市政工程管理站生活垃圾填埋场要求的相关数据收集填报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采购包1（生活垃圾填埋场（焚烧厂）自行监测服务项目）：属于专门面向中小企业采购。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1、有效的主体资格证明：供应商为具有独立承担民事责任能力的企业法人、事业法人、其他组织，提供营业执照（事业单位须事业单位法人证、组织机构代码证等证明文件；其他组织应提供合法证明文件）；</w:t>
      </w:r>
    </w:p>
    <w:p>
      <w:pPr>
        <w:pStyle w:val="null3"/>
      </w:pPr>
      <w:r>
        <w:rPr>
          <w:rFonts w:ascii="仿宋_GB2312" w:hAnsi="仿宋_GB2312" w:cs="仿宋_GB2312" w:eastAsia="仿宋_GB2312"/>
        </w:rPr>
        <w:t>2、法定代表人或委托代理人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3、供应商资质：供应商须具有国家或省级行业主管部门颁发的检验检测机构资质认定证书（CMA）。</w:t>
      </w:r>
    </w:p>
    <w:p>
      <w:pPr>
        <w:pStyle w:val="null3"/>
      </w:pPr>
      <w:r>
        <w:rPr>
          <w:rFonts w:ascii="仿宋_GB2312" w:hAnsi="仿宋_GB2312" w:cs="仿宋_GB2312" w:eastAsia="仿宋_GB2312"/>
        </w:rPr>
        <w:t>4、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5、联合体：本项目不接受联合体投标，单位负责人为同一人或者存在直接控股、管理关系的不同供应商，不得同时参加本项目投标活动。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镇巴县市政工程管理站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镇巴县河西路126号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镇巴县市政工程管理站经办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18091605866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陕西亿胜元项目管理有限公司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陕西省汉中市汉台区东一环与风景路交汇处中饮办公中心C区-8F</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0916-2102199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开户名称：陕西亿胜元项目管理有限公司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银行账号：102513126064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行办法的通知》(计价格【2002】1980号)和国家发改委办公厅国发的《关于招标代理服务收费有关问题的通知》(发改办价格【2003】857号)文件规定的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镇巴县市政工程管理站</w:t>
      </w:r>
      <w:r>
        <w:rPr>
          <w:rFonts w:ascii="仿宋_GB2312" w:hAnsi="仿宋_GB2312" w:cs="仿宋_GB2312" w:eastAsia="仿宋_GB2312"/>
        </w:rPr>
        <w:t>和</w:t>
      </w:r>
      <w:r>
        <w:rPr>
          <w:rFonts w:ascii="仿宋_GB2312" w:hAnsi="仿宋_GB2312" w:cs="仿宋_GB2312" w:eastAsia="仿宋_GB2312"/>
        </w:rPr>
        <w:t>陕西亿胜元项目管理有限公司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镇巴县市政工程管理站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陕西亿胜元项目管理有限公司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镇巴县市政工程管理站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陕西亿胜元项目管理有限公司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联系人：鲁工</w:t>
      </w:r>
    </w:p>
    <w:p>
      <w:pPr>
        <w:pStyle w:val="null3"/>
      </w:pPr>
      <w:r>
        <w:rPr>
          <w:rFonts w:ascii="仿宋_GB2312" w:hAnsi="仿宋_GB2312" w:cs="仿宋_GB2312" w:eastAsia="仿宋_GB2312"/>
        </w:rPr>
        <w:t>联系电话：0916-2102199</w:t>
      </w:r>
    </w:p>
    <w:p>
      <w:pPr>
        <w:pStyle w:val="null3"/>
      </w:pPr>
      <w:r>
        <w:rPr>
          <w:rFonts w:ascii="仿宋_GB2312" w:hAnsi="仿宋_GB2312" w:cs="仿宋_GB2312" w:eastAsia="仿宋_GB2312"/>
        </w:rPr>
        <w:t>地址：汉中市汉台区东一环与风景路交汇处中饮办公中心C区-8F</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为认真履行法定义务和社会责任，根据国家环保部等有关规定和要求，我单位委托 第三方检测机构依据排污许可证规定内容及国家相应法律、法规的规定对镇巴县市政工程管理站生活垃圾填埋场提供年度排污检测，包括出具国家认可的检测报告(按照国家、省、市、区环保部门排污检测要求实施检测)和组织响应一切国家、省、市、区环保部门和镇巴县市政工程管理站生活垃圾填埋场要求的相关数据收集填报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390000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标的名称：390000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）废气无组织排放监测方案</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、废气无组织监测</w:t>
            </w:r>
            <w:r>
              <w:rPr>
                <w:rFonts w:ascii="仿宋_GB2312" w:hAnsi="仿宋_GB2312" w:cs="仿宋_GB2312" w:eastAsia="仿宋_GB2312"/>
                <w:sz w:val="24"/>
                <w:color w:val="000000"/>
              </w:rPr>
              <w:t>内容</w:t>
            </w:r>
          </w:p>
          <w:p>
            <w:pPr>
              <w:pStyle w:val="null3"/>
              <w:ind w:firstLine="480"/>
              <w:jc w:val="both"/>
            </w:pPr>
            <w:r>
              <w:rPr>
                <w:rFonts w:ascii="仿宋_GB2312" w:hAnsi="仿宋_GB2312" w:cs="仿宋_GB2312" w:eastAsia="仿宋_GB2312"/>
                <w:sz w:val="24"/>
                <w:color w:val="000000"/>
              </w:rPr>
              <w:t>废气无组织监测点位、监测项目及监测频次</w:t>
            </w:r>
            <w:r>
              <w:rPr>
                <w:rFonts w:ascii="仿宋_GB2312" w:hAnsi="仿宋_GB2312" w:cs="仿宋_GB2312" w:eastAsia="仿宋_GB2312"/>
                <w:sz w:val="24"/>
                <w:color w:val="000000"/>
              </w:rPr>
              <w:t>见表</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b/>
                <w:color w:val="000000"/>
              </w:rPr>
              <w:t>表</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废气无组织监测点位、监测项目及监测频次</w:t>
            </w:r>
          </w:p>
          <w:tbl>
            <w:tblPr>
              <w:tblBorders>
                <w:top w:val="none" w:color="000000" w:sz="4"/>
                <w:left w:val="none" w:color="000000" w:sz="4"/>
                <w:bottom w:val="none" w:color="000000" w:sz="4"/>
                <w:right w:val="none" w:color="000000" w:sz="4"/>
                <w:insideH w:val="none"/>
                <w:insideV w:val="none"/>
              </w:tblBorders>
            </w:tblPr>
            <w:tblGrid>
              <w:gridCol w:w="329"/>
              <w:gridCol w:w="558"/>
              <w:gridCol w:w="474"/>
              <w:gridCol w:w="398"/>
              <w:gridCol w:w="433"/>
              <w:gridCol w:w="359"/>
            </w:tblGrid>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污染源类型</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监测点位</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监测项目</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监测频次</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监测方式</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3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厂界</w:t>
                  </w:r>
                  <w:r>
                    <w:rPr>
                      <w:rFonts w:ascii="仿宋_GB2312" w:hAnsi="仿宋_GB2312" w:cs="仿宋_GB2312" w:eastAsia="仿宋_GB2312"/>
                      <w:sz w:val="24"/>
                    </w:rPr>
                    <w:t>无组织废气</w:t>
                  </w:r>
                </w:p>
              </w:tc>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厂界外上风向</w:t>
                  </w:r>
                  <w:r>
                    <w:rPr>
                      <w:rFonts w:ascii="仿宋_GB2312" w:hAnsi="仿宋_GB2312" w:cs="仿宋_GB2312" w:eastAsia="仿宋_GB2312"/>
                      <w:sz w:val="24"/>
                    </w:rPr>
                    <w:t>1</w:t>
                  </w:r>
                  <w:r>
                    <w:rPr>
                      <w:rFonts w:ascii="仿宋_GB2312" w:hAnsi="仿宋_GB2312" w:cs="仿宋_GB2312" w:eastAsia="仿宋_GB2312"/>
                      <w:sz w:val="24"/>
                    </w:rPr>
                    <w:t>个对照点，下风向</w:t>
                  </w:r>
                  <w:r>
                    <w:rPr>
                      <w:rFonts w:ascii="仿宋_GB2312" w:hAnsi="仿宋_GB2312" w:cs="仿宋_GB2312" w:eastAsia="仿宋_GB2312"/>
                      <w:sz w:val="24"/>
                    </w:rPr>
                    <w:t>3</w:t>
                  </w:r>
                  <w:r>
                    <w:rPr>
                      <w:rFonts w:ascii="仿宋_GB2312" w:hAnsi="仿宋_GB2312" w:cs="仿宋_GB2312" w:eastAsia="仿宋_GB2312"/>
                      <w:sz w:val="24"/>
                    </w:rPr>
                    <w:t>个监控点</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颗粒物、硫化氢、氨气</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月</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329"/>
                  <w:vMerge/>
                  <w:tcBorders>
                    <w:top w:val="none" w:color="000000" w:sz="4"/>
                    <w:left w:val="single" w:color="000000" w:sz="4"/>
                    <w:bottom w:val="single" w:color="000000" w:sz="4"/>
                    <w:right w:val="single" w:color="000000" w:sz="4"/>
                  </w:tcBorders>
                </w:tcPr>
                <w:p/>
              </w:tc>
              <w:tc>
                <w:tcPr>
                  <w:tcW w:type="dxa" w:w="558"/>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非甲烷总烃</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季度</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污染物种类及监测频次依据环评监测计划</w:t>
                  </w:r>
                </w:p>
              </w:tc>
            </w:tr>
            <w:tr>
              <w:tc>
                <w:tcPr>
                  <w:tcW w:type="dxa" w:w="329"/>
                  <w:vMerge/>
                  <w:tcBorders>
                    <w:top w:val="none" w:color="000000" w:sz="4"/>
                    <w:left w:val="single" w:color="000000" w:sz="4"/>
                    <w:bottom w:val="single" w:color="000000" w:sz="4"/>
                    <w:right w:val="single" w:color="000000" w:sz="4"/>
                  </w:tcBorders>
                </w:tcP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厂界下风向</w:t>
                  </w:r>
                  <w:r>
                    <w:rPr>
                      <w:rFonts w:ascii="仿宋_GB2312" w:hAnsi="仿宋_GB2312" w:cs="仿宋_GB2312" w:eastAsia="仿宋_GB2312"/>
                      <w:sz w:val="24"/>
                    </w:rPr>
                    <w:t>3</w:t>
                  </w:r>
                  <w:r>
                    <w:rPr>
                      <w:rFonts w:ascii="仿宋_GB2312" w:hAnsi="仿宋_GB2312" w:cs="仿宋_GB2312" w:eastAsia="仿宋_GB2312"/>
                      <w:sz w:val="24"/>
                    </w:rPr>
                    <w:t>个监控点</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臭气浓度</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月</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填埋场上方</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填埋场上方</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甲烷</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日</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r>
                    <w:rPr>
                      <w:rFonts w:ascii="仿宋_GB2312" w:hAnsi="仿宋_GB2312" w:cs="仿宋_GB2312" w:eastAsia="仿宋_GB2312"/>
                      <w:sz w:val="24"/>
                    </w:rPr>
                    <w:t>(</w:t>
                  </w:r>
                  <w:r>
                    <w:rPr>
                      <w:rFonts w:ascii="仿宋_GB2312" w:hAnsi="仿宋_GB2312" w:cs="仿宋_GB2312" w:eastAsia="仿宋_GB2312"/>
                      <w:sz w:val="24"/>
                    </w:rPr>
                    <w:t>甲方用便携式设备进行监测）</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填埋场上方的甲烷气体的采样点布设应按照</w:t>
                  </w:r>
                  <w:r>
                    <w:rPr>
                      <w:rFonts w:ascii="仿宋_GB2312" w:hAnsi="仿宋_GB2312" w:cs="仿宋_GB2312" w:eastAsia="仿宋_GB2312"/>
                      <w:sz w:val="24"/>
                    </w:rPr>
                    <w:t>GB/T18772</w:t>
                  </w:r>
                  <w:r>
                    <w:rPr>
                      <w:rFonts w:ascii="仿宋_GB2312" w:hAnsi="仿宋_GB2312" w:cs="仿宋_GB2312" w:eastAsia="仿宋_GB2312"/>
                      <w:sz w:val="24"/>
                    </w:rPr>
                    <w:t>的规定执行</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备注：对空气中甲烷气体含量的监测应采用符合</w:t>
                  </w:r>
                  <w:r>
                    <w:rPr>
                      <w:rFonts w:ascii="仿宋_GB2312" w:hAnsi="仿宋_GB2312" w:cs="仿宋_GB2312" w:eastAsia="仿宋_GB2312"/>
                      <w:sz w:val="24"/>
                    </w:rPr>
                    <w:t>GB13486</w:t>
                  </w:r>
                  <w:r>
                    <w:rPr>
                      <w:rFonts w:ascii="仿宋_GB2312" w:hAnsi="仿宋_GB2312" w:cs="仿宋_GB2312" w:eastAsia="仿宋_GB2312"/>
                      <w:sz w:val="24"/>
                    </w:rPr>
                    <w:t>要求或具有相同效果的便携式分析仪器进行测定。</w:t>
                  </w:r>
                </w:p>
              </w:tc>
            </w:tr>
          </w:tbl>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）废气</w:t>
            </w:r>
            <w:r>
              <w:rPr>
                <w:rFonts w:ascii="仿宋_GB2312" w:hAnsi="仿宋_GB2312" w:cs="仿宋_GB2312" w:eastAsia="仿宋_GB2312"/>
                <w:sz w:val="24"/>
                <w:b/>
                <w:color w:val="000000"/>
              </w:rPr>
              <w:t>有</w:t>
            </w:r>
            <w:r>
              <w:rPr>
                <w:rFonts w:ascii="仿宋_GB2312" w:hAnsi="仿宋_GB2312" w:cs="仿宋_GB2312" w:eastAsia="仿宋_GB2312"/>
                <w:sz w:val="24"/>
                <w:b/>
                <w:color w:val="000000"/>
              </w:rPr>
              <w:t>组织排放监测方案</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、废气</w:t>
            </w:r>
            <w:r>
              <w:rPr>
                <w:rFonts w:ascii="仿宋_GB2312" w:hAnsi="仿宋_GB2312" w:cs="仿宋_GB2312" w:eastAsia="仿宋_GB2312"/>
                <w:sz w:val="24"/>
                <w:color w:val="000000"/>
              </w:rPr>
              <w:t>有</w:t>
            </w:r>
            <w:r>
              <w:rPr>
                <w:rFonts w:ascii="仿宋_GB2312" w:hAnsi="仿宋_GB2312" w:cs="仿宋_GB2312" w:eastAsia="仿宋_GB2312"/>
                <w:sz w:val="24"/>
                <w:color w:val="000000"/>
              </w:rPr>
              <w:t>组织监测</w:t>
            </w:r>
            <w:r>
              <w:rPr>
                <w:rFonts w:ascii="仿宋_GB2312" w:hAnsi="仿宋_GB2312" w:cs="仿宋_GB2312" w:eastAsia="仿宋_GB2312"/>
                <w:sz w:val="24"/>
                <w:color w:val="000000"/>
              </w:rPr>
              <w:t>内容</w:t>
            </w:r>
          </w:p>
          <w:p>
            <w:pPr>
              <w:pStyle w:val="null3"/>
              <w:ind w:firstLine="480"/>
              <w:jc w:val="both"/>
            </w:pPr>
            <w:r>
              <w:rPr>
                <w:rFonts w:ascii="仿宋_GB2312" w:hAnsi="仿宋_GB2312" w:cs="仿宋_GB2312" w:eastAsia="仿宋_GB2312"/>
                <w:sz w:val="24"/>
                <w:color w:val="000000"/>
              </w:rPr>
              <w:t>有</w:t>
            </w:r>
            <w:r>
              <w:rPr>
                <w:rFonts w:ascii="仿宋_GB2312" w:hAnsi="仿宋_GB2312" w:cs="仿宋_GB2312" w:eastAsia="仿宋_GB2312"/>
                <w:sz w:val="24"/>
                <w:color w:val="000000"/>
              </w:rPr>
              <w:t>组织</w:t>
            </w:r>
            <w:r>
              <w:rPr>
                <w:rFonts w:ascii="仿宋_GB2312" w:hAnsi="仿宋_GB2312" w:cs="仿宋_GB2312" w:eastAsia="仿宋_GB2312"/>
                <w:sz w:val="24"/>
                <w:color w:val="000000"/>
              </w:rPr>
              <w:t>废气</w:t>
            </w:r>
            <w:r>
              <w:rPr>
                <w:rFonts w:ascii="仿宋_GB2312" w:hAnsi="仿宋_GB2312" w:cs="仿宋_GB2312" w:eastAsia="仿宋_GB2312"/>
                <w:sz w:val="24"/>
                <w:color w:val="000000"/>
              </w:rPr>
              <w:t>监测点位、监测项目及监测频次</w:t>
            </w:r>
            <w:r>
              <w:rPr>
                <w:rFonts w:ascii="仿宋_GB2312" w:hAnsi="仿宋_GB2312" w:cs="仿宋_GB2312" w:eastAsia="仿宋_GB2312"/>
                <w:sz w:val="24"/>
                <w:color w:val="000000"/>
              </w:rPr>
              <w:t>见表</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b/>
                <w:color w:val="000000"/>
              </w:rPr>
              <w:t>表</w:t>
            </w:r>
            <w:r>
              <w:rPr>
                <w:rFonts w:ascii="仿宋_GB2312" w:hAnsi="仿宋_GB2312" w:cs="仿宋_GB2312" w:eastAsia="仿宋_GB2312"/>
                <w:sz w:val="24"/>
                <w:b/>
                <w:color w:val="000000"/>
              </w:rPr>
              <w:t>2</w:t>
            </w:r>
            <w:r>
              <w:rPr>
                <w:rFonts w:ascii="仿宋_GB2312" w:hAnsi="仿宋_GB2312" w:cs="仿宋_GB2312" w:eastAsia="仿宋_GB2312"/>
                <w:sz w:val="21"/>
                <w:b/>
              </w:rPr>
              <w:t xml:space="preserve"> </w:t>
            </w:r>
            <w:r>
              <w:rPr>
                <w:rFonts w:ascii="仿宋_GB2312" w:hAnsi="仿宋_GB2312" w:cs="仿宋_GB2312" w:eastAsia="仿宋_GB2312"/>
                <w:sz w:val="24"/>
                <w:b/>
                <w:color w:val="000000"/>
              </w:rPr>
              <w:t>有</w:t>
            </w:r>
            <w:r>
              <w:rPr>
                <w:rFonts w:ascii="仿宋_GB2312" w:hAnsi="仿宋_GB2312" w:cs="仿宋_GB2312" w:eastAsia="仿宋_GB2312"/>
                <w:sz w:val="24"/>
                <w:b/>
                <w:color w:val="000000"/>
              </w:rPr>
              <w:t>组织</w:t>
            </w:r>
            <w:r>
              <w:rPr>
                <w:rFonts w:ascii="仿宋_GB2312" w:hAnsi="仿宋_GB2312" w:cs="仿宋_GB2312" w:eastAsia="仿宋_GB2312"/>
                <w:sz w:val="24"/>
                <w:b/>
                <w:color w:val="000000"/>
              </w:rPr>
              <w:t>废气</w:t>
            </w:r>
            <w:r>
              <w:rPr>
                <w:rFonts w:ascii="仿宋_GB2312" w:hAnsi="仿宋_GB2312" w:cs="仿宋_GB2312" w:eastAsia="仿宋_GB2312"/>
                <w:sz w:val="24"/>
                <w:b/>
                <w:color w:val="000000"/>
              </w:rPr>
              <w:t>监测点位、监测项目及监测频次</w:t>
            </w:r>
          </w:p>
          <w:tbl>
            <w:tblPr>
              <w:tblBorders>
                <w:top w:val="none" w:color="000000" w:sz="4"/>
                <w:left w:val="none" w:color="000000" w:sz="4"/>
                <w:bottom w:val="none" w:color="000000" w:sz="4"/>
                <w:right w:val="none" w:color="000000" w:sz="4"/>
                <w:insideH w:val="none"/>
                <w:insideV w:val="none"/>
              </w:tblBorders>
            </w:tblPr>
            <w:tblGrid>
              <w:gridCol w:w="275"/>
              <w:gridCol w:w="420"/>
              <w:gridCol w:w="992"/>
              <w:gridCol w:w="288"/>
              <w:gridCol w:w="326"/>
              <w:gridCol w:w="251"/>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污染源</w:t>
                  </w:r>
                </w:p>
              </w:tc>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监测点位</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监测项目</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监测频次</w:t>
                  </w:r>
                </w:p>
              </w:tc>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监测方式</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焚烧炉</w:t>
                  </w:r>
                </w:p>
              </w:tc>
              <w:tc>
                <w:tcPr>
                  <w:tcW w:type="dxa" w:w="4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焚烧炉废气排放口（</w:t>
                  </w:r>
                  <w:r>
                    <w:rPr>
                      <w:rFonts w:ascii="仿宋_GB2312" w:hAnsi="仿宋_GB2312" w:cs="仿宋_GB2312" w:eastAsia="仿宋_GB2312"/>
                      <w:sz w:val="24"/>
                    </w:rPr>
                    <w:t>DA001</w:t>
                  </w:r>
                  <w:r>
                    <w:rPr>
                      <w:rFonts w:ascii="仿宋_GB2312" w:hAnsi="仿宋_GB2312" w:cs="仿宋_GB2312" w:eastAsia="仿宋_GB2312"/>
                      <w:sz w:val="24"/>
                    </w:rPr>
                    <w:t>）</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氮氧化物、一氧化碳、氯化氢、二氧化硫、颗粒物</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实时</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w:t>
                  </w:r>
                  <w:r>
                    <w:rPr>
                      <w:rFonts w:ascii="仿宋_GB2312" w:hAnsi="仿宋_GB2312" w:cs="仿宋_GB2312" w:eastAsia="仿宋_GB2312"/>
                      <w:sz w:val="24"/>
                    </w:rPr>
                    <w:t>监测</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75"/>
                  <w:vMerge/>
                  <w:tcBorders>
                    <w:top w:val="none" w:color="000000" w:sz="4"/>
                    <w:left w:val="single" w:color="000000" w:sz="4"/>
                    <w:bottom w:val="single" w:color="000000" w:sz="4"/>
                    <w:right w:val="single" w:color="000000" w:sz="4"/>
                  </w:tcBorders>
                </w:tcPr>
                <w:p/>
              </w:tc>
              <w:tc>
                <w:tcPr>
                  <w:tcW w:type="dxa" w:w="420"/>
                  <w:vMerge/>
                  <w:tcBorders>
                    <w:top w:val="none" w:color="000000" w:sz="4"/>
                    <w:left w:val="single" w:color="000000" w:sz="4"/>
                    <w:bottom w:val="single" w:color="000000" w:sz="4"/>
                    <w:right w:val="single" w:color="000000" w:sz="4"/>
                  </w:tcBorders>
                </w:tcP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二噁英类</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年</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75"/>
                  <w:vMerge/>
                  <w:tcBorders>
                    <w:top w:val="none" w:color="000000" w:sz="4"/>
                    <w:left w:val="single" w:color="000000" w:sz="4"/>
                    <w:bottom w:val="single" w:color="000000" w:sz="4"/>
                    <w:right w:val="single" w:color="000000" w:sz="4"/>
                  </w:tcBorders>
                </w:tcPr>
                <w:p/>
              </w:tc>
              <w:tc>
                <w:tcPr>
                  <w:tcW w:type="dxa" w:w="420"/>
                  <w:vMerge/>
                  <w:tcBorders>
                    <w:top w:val="none" w:color="000000" w:sz="4"/>
                    <w:left w:val="single" w:color="000000" w:sz="4"/>
                    <w:bottom w:val="single" w:color="000000" w:sz="4"/>
                    <w:right w:val="single" w:color="000000" w:sz="4"/>
                  </w:tcBorders>
                </w:tcP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锑</w:t>
                  </w:r>
                  <w:r>
                    <w:rPr>
                      <w:rFonts w:ascii="仿宋_GB2312" w:hAnsi="仿宋_GB2312" w:cs="仿宋_GB2312" w:eastAsia="仿宋_GB2312"/>
                      <w:sz w:val="24"/>
                    </w:rPr>
                    <w:t>，</w:t>
                  </w:r>
                  <w:r>
                    <w:rPr>
                      <w:rFonts w:ascii="仿宋_GB2312" w:hAnsi="仿宋_GB2312" w:cs="仿宋_GB2312" w:eastAsia="仿宋_GB2312"/>
                      <w:sz w:val="24"/>
                    </w:rPr>
                    <w:t>砷</w:t>
                  </w:r>
                  <w:r>
                    <w:rPr>
                      <w:rFonts w:ascii="仿宋_GB2312" w:hAnsi="仿宋_GB2312" w:cs="仿宋_GB2312" w:eastAsia="仿宋_GB2312"/>
                      <w:sz w:val="24"/>
                    </w:rPr>
                    <w:t>，</w:t>
                  </w:r>
                  <w:r>
                    <w:rPr>
                      <w:rFonts w:ascii="仿宋_GB2312" w:hAnsi="仿宋_GB2312" w:cs="仿宋_GB2312" w:eastAsia="仿宋_GB2312"/>
                      <w:sz w:val="24"/>
                    </w:rPr>
                    <w:t>铅</w:t>
                  </w:r>
                  <w:r>
                    <w:rPr>
                      <w:rFonts w:ascii="仿宋_GB2312" w:hAnsi="仿宋_GB2312" w:cs="仿宋_GB2312" w:eastAsia="仿宋_GB2312"/>
                      <w:sz w:val="24"/>
                    </w:rPr>
                    <w:t>，</w:t>
                  </w:r>
                  <w:r>
                    <w:rPr>
                      <w:rFonts w:ascii="仿宋_GB2312" w:hAnsi="仿宋_GB2312" w:cs="仿宋_GB2312" w:eastAsia="仿宋_GB2312"/>
                      <w:sz w:val="24"/>
                    </w:rPr>
                    <w:t>铬</w:t>
                  </w:r>
                  <w:r>
                    <w:rPr>
                      <w:rFonts w:ascii="仿宋_GB2312" w:hAnsi="仿宋_GB2312" w:cs="仿宋_GB2312" w:eastAsia="仿宋_GB2312"/>
                      <w:sz w:val="24"/>
                    </w:rPr>
                    <w:t>，</w:t>
                  </w:r>
                  <w:r>
                    <w:rPr>
                      <w:rFonts w:ascii="仿宋_GB2312" w:hAnsi="仿宋_GB2312" w:cs="仿宋_GB2312" w:eastAsia="仿宋_GB2312"/>
                      <w:sz w:val="24"/>
                    </w:rPr>
                    <w:t>钴</w:t>
                  </w:r>
                  <w:r>
                    <w:rPr>
                      <w:rFonts w:ascii="仿宋_GB2312" w:hAnsi="仿宋_GB2312" w:cs="仿宋_GB2312" w:eastAsia="仿宋_GB2312"/>
                      <w:sz w:val="24"/>
                    </w:rPr>
                    <w:t>，</w:t>
                  </w:r>
                  <w:r>
                    <w:rPr>
                      <w:rFonts w:ascii="仿宋_GB2312" w:hAnsi="仿宋_GB2312" w:cs="仿宋_GB2312" w:eastAsia="仿宋_GB2312"/>
                      <w:sz w:val="24"/>
                    </w:rPr>
                    <w:t>铜</w:t>
                  </w:r>
                  <w:r>
                    <w:rPr>
                      <w:rFonts w:ascii="仿宋_GB2312" w:hAnsi="仿宋_GB2312" w:cs="仿宋_GB2312" w:eastAsia="仿宋_GB2312"/>
                      <w:sz w:val="24"/>
                    </w:rPr>
                    <w:t>，</w:t>
                  </w:r>
                  <w:r>
                    <w:rPr>
                      <w:rFonts w:ascii="仿宋_GB2312" w:hAnsi="仿宋_GB2312" w:cs="仿宋_GB2312" w:eastAsia="仿宋_GB2312"/>
                      <w:sz w:val="24"/>
                    </w:rPr>
                    <w:t>锰</w:t>
                  </w:r>
                  <w:r>
                    <w:rPr>
                      <w:rFonts w:ascii="仿宋_GB2312" w:hAnsi="仿宋_GB2312" w:cs="仿宋_GB2312" w:eastAsia="仿宋_GB2312"/>
                      <w:sz w:val="24"/>
                    </w:rPr>
                    <w:t>，</w:t>
                  </w:r>
                  <w:r>
                    <w:rPr>
                      <w:rFonts w:ascii="仿宋_GB2312" w:hAnsi="仿宋_GB2312" w:cs="仿宋_GB2312" w:eastAsia="仿宋_GB2312"/>
                      <w:sz w:val="24"/>
                    </w:rPr>
                    <w:t>镍及其化合物（以</w:t>
                  </w:r>
                  <w:r>
                    <w:rPr>
                      <w:rFonts w:ascii="仿宋_GB2312" w:hAnsi="仿宋_GB2312" w:cs="仿宋_GB2312" w:eastAsia="仿宋_GB2312"/>
                      <w:sz w:val="24"/>
                    </w:rPr>
                    <w:t>Sb+As+Pb+Cr+Co+Cu+Mn+Ni</w:t>
                  </w:r>
                  <w:r>
                    <w:rPr>
                      <w:rFonts w:ascii="仿宋_GB2312" w:hAnsi="仿宋_GB2312" w:cs="仿宋_GB2312" w:eastAsia="仿宋_GB2312"/>
                      <w:sz w:val="24"/>
                    </w:rPr>
                    <w:t>计）</w:t>
                  </w:r>
                  <w:r>
                    <w:rPr>
                      <w:rFonts w:ascii="仿宋_GB2312" w:hAnsi="仿宋_GB2312" w:cs="仿宋_GB2312" w:eastAsia="仿宋_GB2312"/>
                      <w:sz w:val="24"/>
                    </w:rPr>
                    <w:t>、</w:t>
                  </w:r>
                  <w:r>
                    <w:rPr>
                      <w:rFonts w:ascii="仿宋_GB2312" w:hAnsi="仿宋_GB2312" w:cs="仿宋_GB2312" w:eastAsia="仿宋_GB2312"/>
                      <w:sz w:val="24"/>
                    </w:rPr>
                    <w:t>汞及其化合物</w:t>
                  </w:r>
                  <w:r>
                    <w:rPr>
                      <w:rFonts w:ascii="仿宋_GB2312" w:hAnsi="仿宋_GB2312" w:cs="仿宋_GB2312" w:eastAsia="仿宋_GB2312"/>
                      <w:sz w:val="24"/>
                    </w:rPr>
                    <w:t>、</w:t>
                  </w:r>
                  <w:r>
                    <w:rPr>
                      <w:rFonts w:ascii="仿宋_GB2312" w:hAnsi="仿宋_GB2312" w:cs="仿宋_GB2312" w:eastAsia="仿宋_GB2312"/>
                      <w:sz w:val="24"/>
                    </w:rPr>
                    <w:t>镉，铊及其化合物（以</w:t>
                  </w:r>
                  <w:r>
                    <w:rPr>
                      <w:rFonts w:ascii="仿宋_GB2312" w:hAnsi="仿宋_GB2312" w:cs="仿宋_GB2312" w:eastAsia="仿宋_GB2312"/>
                      <w:sz w:val="24"/>
                    </w:rPr>
                    <w:t>Cd+Tl</w:t>
                  </w:r>
                  <w:r>
                    <w:rPr>
                      <w:rFonts w:ascii="仿宋_GB2312" w:hAnsi="仿宋_GB2312" w:cs="仿宋_GB2312" w:eastAsia="仿宋_GB2312"/>
                      <w:sz w:val="24"/>
                    </w:rPr>
                    <w:t>计）</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月</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垃圾池</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垃圾池废气排放口（</w:t>
                  </w:r>
                  <w:r>
                    <w:rPr>
                      <w:rFonts w:ascii="仿宋_GB2312" w:hAnsi="仿宋_GB2312" w:cs="仿宋_GB2312" w:eastAsia="仿宋_GB2312"/>
                      <w:sz w:val="24"/>
                    </w:rPr>
                    <w:t>DA002</w:t>
                  </w:r>
                  <w:r>
                    <w:rPr>
                      <w:rFonts w:ascii="仿宋_GB2312" w:hAnsi="仿宋_GB2312" w:cs="仿宋_GB2312" w:eastAsia="仿宋_GB2312"/>
                      <w:sz w:val="24"/>
                    </w:rPr>
                    <w:t>）</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硫化氢、臭气浓度、氨（氨气）</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季度</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227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、氮氧化物、一氧化碳、氯化氢、二氧化硫、颗粒物采用自动监测，当在线监测发生故障时采用手工监测分析方法，监测频次为</w:t>
                  </w:r>
                  <w:r>
                    <w:rPr>
                      <w:rFonts w:ascii="仿宋_GB2312" w:hAnsi="仿宋_GB2312" w:cs="仿宋_GB2312" w:eastAsia="仿宋_GB2312"/>
                      <w:sz w:val="24"/>
                    </w:rPr>
                    <w:t>4</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日；</w:t>
                  </w:r>
                  <w:r>
                    <w:rPr>
                      <w:rFonts w:ascii="仿宋_GB2312" w:hAnsi="仿宋_GB2312" w:cs="仿宋_GB2312" w:eastAsia="仿宋_GB2312"/>
                      <w:sz w:val="24"/>
                    </w:rPr>
                    <w:t>2</w:t>
                  </w:r>
                  <w:r>
                    <w:rPr>
                      <w:rFonts w:ascii="仿宋_GB2312" w:hAnsi="仿宋_GB2312" w:cs="仿宋_GB2312" w:eastAsia="仿宋_GB2312"/>
                      <w:sz w:val="24"/>
                    </w:rPr>
                    <w:t>、在热解炉停炉检修时，垃圾池内的臭气负压收集到活性炭吸附式除臭装置处理后经垃圾池废气排放口（</w:t>
                  </w:r>
                  <w:r>
                    <w:rPr>
                      <w:rFonts w:ascii="仿宋_GB2312" w:hAnsi="仿宋_GB2312" w:cs="仿宋_GB2312" w:eastAsia="仿宋_GB2312"/>
                      <w:sz w:val="24"/>
                    </w:rPr>
                    <w:t>DA002</w:t>
                  </w:r>
                  <w:r>
                    <w:rPr>
                      <w:rFonts w:ascii="仿宋_GB2312" w:hAnsi="仿宋_GB2312" w:cs="仿宋_GB2312" w:eastAsia="仿宋_GB2312"/>
                      <w:sz w:val="24"/>
                    </w:rPr>
                    <w:t>）排放，应按照</w:t>
                  </w: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季度进行监测。</w:t>
                  </w:r>
                </w:p>
              </w:tc>
            </w:tr>
          </w:tbl>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）废</w:t>
            </w:r>
            <w:r>
              <w:rPr>
                <w:rFonts w:ascii="仿宋_GB2312" w:hAnsi="仿宋_GB2312" w:cs="仿宋_GB2312" w:eastAsia="仿宋_GB2312"/>
                <w:sz w:val="24"/>
                <w:b/>
                <w:color w:val="000000"/>
              </w:rPr>
              <w:t>水</w:t>
            </w:r>
            <w:r>
              <w:rPr>
                <w:rFonts w:ascii="仿宋_GB2312" w:hAnsi="仿宋_GB2312" w:cs="仿宋_GB2312" w:eastAsia="仿宋_GB2312"/>
                <w:sz w:val="24"/>
                <w:b/>
                <w:color w:val="000000"/>
              </w:rPr>
              <w:t>监测方案</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、废</w:t>
            </w:r>
            <w:r>
              <w:rPr>
                <w:rFonts w:ascii="仿宋_GB2312" w:hAnsi="仿宋_GB2312" w:cs="仿宋_GB2312" w:eastAsia="仿宋_GB2312"/>
                <w:sz w:val="24"/>
                <w:color w:val="000000"/>
              </w:rPr>
              <w:t>水</w:t>
            </w:r>
            <w:r>
              <w:rPr>
                <w:rFonts w:ascii="仿宋_GB2312" w:hAnsi="仿宋_GB2312" w:cs="仿宋_GB2312" w:eastAsia="仿宋_GB2312"/>
                <w:sz w:val="24"/>
                <w:color w:val="000000"/>
              </w:rPr>
              <w:t>监测</w:t>
            </w:r>
            <w:r>
              <w:rPr>
                <w:rFonts w:ascii="仿宋_GB2312" w:hAnsi="仿宋_GB2312" w:cs="仿宋_GB2312" w:eastAsia="仿宋_GB2312"/>
                <w:sz w:val="24"/>
                <w:color w:val="000000"/>
              </w:rPr>
              <w:t>内容</w:t>
            </w:r>
          </w:p>
          <w:p>
            <w:pPr>
              <w:pStyle w:val="null3"/>
              <w:ind w:firstLine="480"/>
              <w:jc w:val="both"/>
            </w:pPr>
            <w:r>
              <w:rPr>
                <w:rFonts w:ascii="仿宋_GB2312" w:hAnsi="仿宋_GB2312" w:cs="仿宋_GB2312" w:eastAsia="仿宋_GB2312"/>
                <w:sz w:val="24"/>
                <w:color w:val="000000"/>
              </w:rPr>
              <w:t>废</w:t>
            </w:r>
            <w:r>
              <w:rPr>
                <w:rFonts w:ascii="仿宋_GB2312" w:hAnsi="仿宋_GB2312" w:cs="仿宋_GB2312" w:eastAsia="仿宋_GB2312"/>
                <w:sz w:val="24"/>
                <w:color w:val="000000"/>
              </w:rPr>
              <w:t>水</w:t>
            </w:r>
            <w:r>
              <w:rPr>
                <w:rFonts w:ascii="仿宋_GB2312" w:hAnsi="仿宋_GB2312" w:cs="仿宋_GB2312" w:eastAsia="仿宋_GB2312"/>
                <w:sz w:val="24"/>
                <w:color w:val="000000"/>
              </w:rPr>
              <w:t>监测点位、监测项目及监测频次</w:t>
            </w:r>
            <w:r>
              <w:rPr>
                <w:rFonts w:ascii="仿宋_GB2312" w:hAnsi="仿宋_GB2312" w:cs="仿宋_GB2312" w:eastAsia="仿宋_GB2312"/>
                <w:sz w:val="24"/>
                <w:color w:val="000000"/>
              </w:rPr>
              <w:t>见表</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b/>
                <w:color w:val="000000"/>
              </w:rPr>
              <w:t>表</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废</w:t>
            </w:r>
            <w:r>
              <w:rPr>
                <w:rFonts w:ascii="仿宋_GB2312" w:hAnsi="仿宋_GB2312" w:cs="仿宋_GB2312" w:eastAsia="仿宋_GB2312"/>
                <w:sz w:val="24"/>
                <w:b/>
                <w:color w:val="000000"/>
              </w:rPr>
              <w:t>水</w:t>
            </w:r>
            <w:r>
              <w:rPr>
                <w:rFonts w:ascii="仿宋_GB2312" w:hAnsi="仿宋_GB2312" w:cs="仿宋_GB2312" w:eastAsia="仿宋_GB2312"/>
                <w:sz w:val="24"/>
                <w:b/>
                <w:color w:val="000000"/>
              </w:rPr>
              <w:t>监测点位、监测项目及监测频次</w:t>
            </w:r>
          </w:p>
          <w:tbl>
            <w:tblPr>
              <w:tblBorders>
                <w:top w:val="none" w:color="000000" w:sz="4"/>
                <w:left w:val="none" w:color="000000" w:sz="4"/>
                <w:bottom w:val="none" w:color="000000" w:sz="4"/>
                <w:right w:val="none" w:color="000000" w:sz="4"/>
                <w:insideH w:val="none"/>
                <w:insideV w:val="none"/>
              </w:tblBorders>
            </w:tblPr>
            <w:tblGrid>
              <w:gridCol w:w="298"/>
              <w:gridCol w:w="526"/>
              <w:gridCol w:w="444"/>
              <w:gridCol w:w="368"/>
              <w:gridCol w:w="402"/>
              <w:gridCol w:w="514"/>
            </w:tblGrid>
            <w:tr>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污染源类型</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监测点位</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监测项目</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监测频次</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监测方式</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渗滤液、生活污水、软水制备系统排水等</w:t>
                  </w:r>
                </w:p>
              </w:tc>
              <w:tc>
                <w:tcPr>
                  <w:tcW w:type="dxa" w:w="5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间接排放口（</w:t>
                  </w:r>
                  <w:r>
                    <w:rPr>
                      <w:rFonts w:ascii="仿宋_GB2312" w:hAnsi="仿宋_GB2312" w:cs="仿宋_GB2312" w:eastAsia="仿宋_GB2312"/>
                      <w:sz w:val="24"/>
                    </w:rPr>
                    <w:t>DW001</w:t>
                  </w:r>
                  <w:r>
                    <w:rPr>
                      <w:rFonts w:ascii="仿宋_GB2312" w:hAnsi="仿宋_GB2312" w:cs="仿宋_GB2312" w:eastAsia="仿宋_GB2312"/>
                      <w:sz w:val="24"/>
                    </w:rPr>
                    <w:t>）</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石油类</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次</w:t>
                  </w:r>
                  <w:r>
                    <w:rPr>
                      <w:rFonts w:ascii="仿宋_GB2312" w:hAnsi="仿宋_GB2312" w:cs="仿宋_GB2312" w:eastAsia="仿宋_GB2312"/>
                      <w:sz w:val="24"/>
                      <w:color w:val="000000"/>
                    </w:rPr>
                    <w:t>/</w:t>
                  </w:r>
                  <w:r>
                    <w:rPr>
                      <w:rFonts w:ascii="仿宋_GB2312" w:hAnsi="仿宋_GB2312" w:cs="仿宋_GB2312" w:eastAsia="仿宋_GB2312"/>
                      <w:sz w:val="24"/>
                      <w:color w:val="000000"/>
                    </w:rPr>
                    <w:t>季度</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监测频次参照《排污单位自行监测技术指南</w:t>
                  </w:r>
                  <w:r>
                    <w:rPr>
                      <w:rFonts w:ascii="仿宋_GB2312" w:hAnsi="仿宋_GB2312" w:cs="仿宋_GB2312" w:eastAsia="仿宋_GB2312"/>
                      <w:sz w:val="24"/>
                    </w:rPr>
                    <w:t>固体废物焚烧》（</w:t>
                  </w:r>
                  <w:r>
                    <w:rPr>
                      <w:rFonts w:ascii="仿宋_GB2312" w:hAnsi="仿宋_GB2312" w:cs="仿宋_GB2312" w:eastAsia="仿宋_GB2312"/>
                      <w:sz w:val="24"/>
                    </w:rPr>
                    <w:t>HJ 1205</w:t>
                  </w:r>
                  <w:r>
                    <w:rPr>
                      <w:rFonts w:ascii="仿宋_GB2312" w:hAnsi="仿宋_GB2312" w:cs="仿宋_GB2312" w:eastAsia="仿宋_GB2312"/>
                      <w:sz w:val="24"/>
                    </w:rPr>
                    <w:t>-</w:t>
                  </w:r>
                  <w:r>
                    <w:rPr>
                      <w:rFonts w:ascii="仿宋_GB2312" w:hAnsi="仿宋_GB2312" w:cs="仿宋_GB2312" w:eastAsia="仿宋_GB2312"/>
                      <w:sz w:val="24"/>
                    </w:rPr>
                    <w:t>2021</w:t>
                  </w:r>
                  <w:r>
                    <w:rPr>
                      <w:rFonts w:ascii="仿宋_GB2312" w:hAnsi="仿宋_GB2312" w:cs="仿宋_GB2312" w:eastAsia="仿宋_GB2312"/>
                      <w:sz w:val="24"/>
                    </w:rPr>
                    <w:t>）中废水总排放口间接排放要求</w:t>
                  </w:r>
                </w:p>
              </w:tc>
            </w:tr>
            <w:tr>
              <w:tc>
                <w:tcPr>
                  <w:tcW w:type="dxa" w:w="298"/>
                  <w:vMerge/>
                  <w:tcBorders>
                    <w:top w:val="none" w:color="000000" w:sz="4"/>
                    <w:left w:val="single" w:color="000000" w:sz="4"/>
                    <w:bottom w:val="single" w:color="000000" w:sz="4"/>
                    <w:right w:val="single" w:color="000000" w:sz="4"/>
                  </w:tcBorders>
                </w:tcPr>
                <w:p/>
              </w:tc>
              <w:tc>
                <w:tcPr>
                  <w:tcW w:type="dxa" w:w="526"/>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动植物油</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次</w:t>
                  </w:r>
                  <w:r>
                    <w:rPr>
                      <w:rFonts w:ascii="仿宋_GB2312" w:hAnsi="仿宋_GB2312" w:cs="仿宋_GB2312" w:eastAsia="仿宋_GB2312"/>
                      <w:sz w:val="24"/>
                      <w:color w:val="000000"/>
                    </w:rPr>
                    <w:t>/</w:t>
                  </w:r>
                  <w:r>
                    <w:rPr>
                      <w:rFonts w:ascii="仿宋_GB2312" w:hAnsi="仿宋_GB2312" w:cs="仿宋_GB2312" w:eastAsia="仿宋_GB2312"/>
                      <w:sz w:val="24"/>
                      <w:color w:val="000000"/>
                    </w:rPr>
                    <w:t>季度</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514"/>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526"/>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粪大肠菌群数</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次</w:t>
                  </w:r>
                  <w:r>
                    <w:rPr>
                      <w:rFonts w:ascii="仿宋_GB2312" w:hAnsi="仿宋_GB2312" w:cs="仿宋_GB2312" w:eastAsia="仿宋_GB2312"/>
                      <w:sz w:val="24"/>
                      <w:color w:val="000000"/>
                    </w:rPr>
                    <w:t>/</w:t>
                  </w:r>
                  <w:r>
                    <w:rPr>
                      <w:rFonts w:ascii="仿宋_GB2312" w:hAnsi="仿宋_GB2312" w:cs="仿宋_GB2312" w:eastAsia="仿宋_GB2312"/>
                      <w:sz w:val="24"/>
                      <w:color w:val="000000"/>
                    </w:rPr>
                    <w:t>季度</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w:t>
                  </w:r>
                  <w:r>
                    <w:rPr>
                      <w:rFonts w:ascii="仿宋_GB2312" w:hAnsi="仿宋_GB2312" w:cs="仿宋_GB2312" w:eastAsia="仿宋_GB2312"/>
                      <w:sz w:val="24"/>
                    </w:rPr>
                    <w:t>HJ1106-2020</w:t>
                  </w:r>
                  <w:r>
                    <w:rPr>
                      <w:rFonts w:ascii="仿宋_GB2312" w:hAnsi="仿宋_GB2312" w:cs="仿宋_GB2312" w:eastAsia="仿宋_GB2312"/>
                      <w:sz w:val="24"/>
                    </w:rPr>
                    <w:t>《排污许可证申请与核发技术规范 环境卫生管理业》确定监测频次。</w:t>
                  </w:r>
                  <w:r>
                    <w:rPr>
                      <w:rFonts w:ascii="仿宋_GB2312" w:hAnsi="仿宋_GB2312" w:cs="仿宋_GB2312" w:eastAsia="仿宋_GB2312"/>
                      <w:sz w:val="24"/>
                    </w:rPr>
                    <w:t>GB16889-2024</w:t>
                  </w:r>
                  <w:r>
                    <w:rPr>
                      <w:rFonts w:ascii="仿宋_GB2312" w:hAnsi="仿宋_GB2312" w:cs="仿宋_GB2312" w:eastAsia="仿宋_GB2312"/>
                      <w:sz w:val="24"/>
                    </w:rPr>
                    <w:t>《生活垃圾填埋场污染控制标准》对间接排放的粪大肠菌群无排放限值与监测频次的要求</w:t>
                  </w:r>
                </w:p>
              </w:tc>
            </w:tr>
            <w:tr>
              <w:tc>
                <w:tcPr>
                  <w:tcW w:type="dxa" w:w="298"/>
                  <w:vMerge/>
                  <w:tcBorders>
                    <w:top w:val="none" w:color="000000" w:sz="4"/>
                    <w:left w:val="single" w:color="000000" w:sz="4"/>
                    <w:bottom w:val="single" w:color="000000" w:sz="4"/>
                    <w:right w:val="single" w:color="000000" w:sz="4"/>
                  </w:tcBorders>
                </w:tcPr>
                <w:p/>
              </w:tc>
              <w:tc>
                <w:tcPr>
                  <w:tcW w:type="dxa" w:w="526"/>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pH</w:t>
                  </w:r>
                  <w:r>
                    <w:rPr>
                      <w:rFonts w:ascii="仿宋_GB2312" w:hAnsi="仿宋_GB2312" w:cs="仿宋_GB2312" w:eastAsia="仿宋_GB2312"/>
                      <w:sz w:val="24"/>
                      <w:color w:val="000000"/>
                    </w:rPr>
                    <w:t>值</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实时</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w:t>
                  </w:r>
                  <w:r>
                    <w:rPr>
                      <w:rFonts w:ascii="仿宋_GB2312" w:hAnsi="仿宋_GB2312" w:cs="仿宋_GB2312" w:eastAsia="仿宋_GB2312"/>
                      <w:sz w:val="24"/>
                    </w:rPr>
                    <w:t>监测</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8"/>
                  <w:vMerge/>
                  <w:tcBorders>
                    <w:top w:val="none" w:color="000000" w:sz="4"/>
                    <w:left w:val="single" w:color="000000" w:sz="4"/>
                    <w:bottom w:val="single" w:color="000000" w:sz="4"/>
                    <w:right w:val="single" w:color="000000" w:sz="4"/>
                  </w:tcBorders>
                </w:tcPr>
                <w:p/>
              </w:tc>
              <w:tc>
                <w:tcPr>
                  <w:tcW w:type="dxa" w:w="526"/>
                  <w:vMerge/>
                  <w:tcBorders>
                    <w:top w:val="none" w:color="000000" w:sz="4"/>
                    <w:left w:val="single" w:color="000000" w:sz="4"/>
                    <w:bottom w:val="single" w:color="000000" w:sz="4"/>
                    <w:right w:val="single" w:color="000000" w:sz="4"/>
                  </w:tcBorders>
                </w:tcP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流量</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实时</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w:t>
                  </w:r>
                  <w:r>
                    <w:rPr>
                      <w:rFonts w:ascii="仿宋_GB2312" w:hAnsi="仿宋_GB2312" w:cs="仿宋_GB2312" w:eastAsia="仿宋_GB2312"/>
                      <w:sz w:val="24"/>
                    </w:rPr>
                    <w:t>监测</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22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流量、</w:t>
                  </w:r>
                  <w:r>
                    <w:rPr>
                      <w:rFonts w:ascii="仿宋_GB2312" w:hAnsi="仿宋_GB2312" w:cs="仿宋_GB2312" w:eastAsia="仿宋_GB2312"/>
                      <w:sz w:val="24"/>
                    </w:rPr>
                    <w:t>pH</w:t>
                  </w:r>
                  <w:r>
                    <w:rPr>
                      <w:rFonts w:ascii="仿宋_GB2312" w:hAnsi="仿宋_GB2312" w:cs="仿宋_GB2312" w:eastAsia="仿宋_GB2312"/>
                      <w:sz w:val="24"/>
                    </w:rPr>
                    <w:t>、化学需氧量、氨氮采用自动监测；当在线监测发生故障时采用手工监测分析方法，监测频次为</w:t>
                  </w:r>
                  <w:r>
                    <w:rPr>
                      <w:rFonts w:ascii="仿宋_GB2312" w:hAnsi="仿宋_GB2312" w:cs="仿宋_GB2312" w:eastAsia="仿宋_GB2312"/>
                      <w:sz w:val="24"/>
                    </w:rPr>
                    <w:t>4</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日。</w:t>
                  </w:r>
                </w:p>
              </w:tc>
            </w:tr>
          </w:tbl>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雨水</w:t>
            </w:r>
            <w:r>
              <w:rPr>
                <w:rFonts w:ascii="仿宋_GB2312" w:hAnsi="仿宋_GB2312" w:cs="仿宋_GB2312" w:eastAsia="仿宋_GB2312"/>
                <w:sz w:val="24"/>
                <w:b/>
                <w:color w:val="000000"/>
              </w:rPr>
              <w:t>监测方案</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雨水</w:t>
            </w:r>
            <w:r>
              <w:rPr>
                <w:rFonts w:ascii="仿宋_GB2312" w:hAnsi="仿宋_GB2312" w:cs="仿宋_GB2312" w:eastAsia="仿宋_GB2312"/>
                <w:sz w:val="24"/>
                <w:color w:val="000000"/>
              </w:rPr>
              <w:t>监测</w:t>
            </w:r>
            <w:r>
              <w:rPr>
                <w:rFonts w:ascii="仿宋_GB2312" w:hAnsi="仿宋_GB2312" w:cs="仿宋_GB2312" w:eastAsia="仿宋_GB2312"/>
                <w:sz w:val="24"/>
                <w:color w:val="000000"/>
              </w:rPr>
              <w:t>内容</w:t>
            </w:r>
          </w:p>
          <w:p>
            <w:pPr>
              <w:pStyle w:val="null3"/>
              <w:ind w:firstLine="480"/>
              <w:jc w:val="both"/>
            </w:pPr>
            <w:r>
              <w:rPr>
                <w:rFonts w:ascii="仿宋_GB2312" w:hAnsi="仿宋_GB2312" w:cs="仿宋_GB2312" w:eastAsia="仿宋_GB2312"/>
                <w:sz w:val="24"/>
                <w:color w:val="000000"/>
              </w:rPr>
              <w:t>雨水</w:t>
            </w:r>
            <w:r>
              <w:rPr>
                <w:rFonts w:ascii="仿宋_GB2312" w:hAnsi="仿宋_GB2312" w:cs="仿宋_GB2312" w:eastAsia="仿宋_GB2312"/>
                <w:sz w:val="24"/>
                <w:color w:val="000000"/>
              </w:rPr>
              <w:t>监测点位、监测项目及监测频次</w:t>
            </w:r>
            <w:r>
              <w:rPr>
                <w:rFonts w:ascii="仿宋_GB2312" w:hAnsi="仿宋_GB2312" w:cs="仿宋_GB2312" w:eastAsia="仿宋_GB2312"/>
                <w:sz w:val="24"/>
                <w:color w:val="000000"/>
              </w:rPr>
              <w:t>见表</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b/>
                <w:color w:val="000000"/>
              </w:rPr>
              <w:t>表</w:t>
            </w:r>
            <w:r>
              <w:rPr>
                <w:rFonts w:ascii="仿宋_GB2312" w:hAnsi="仿宋_GB2312" w:cs="仿宋_GB2312" w:eastAsia="仿宋_GB2312"/>
                <w:sz w:val="24"/>
                <w:b/>
                <w:color w:val="000000"/>
              </w:rPr>
              <w:t>4</w:t>
            </w:r>
            <w:r>
              <w:rPr>
                <w:rFonts w:ascii="仿宋_GB2312" w:hAnsi="仿宋_GB2312" w:cs="仿宋_GB2312" w:eastAsia="仿宋_GB2312"/>
                <w:sz w:val="21"/>
                <w:b/>
              </w:rPr>
              <w:t xml:space="preserve"> </w:t>
            </w:r>
            <w:r>
              <w:rPr>
                <w:rFonts w:ascii="仿宋_GB2312" w:hAnsi="仿宋_GB2312" w:cs="仿宋_GB2312" w:eastAsia="仿宋_GB2312"/>
                <w:sz w:val="24"/>
                <w:b/>
                <w:color w:val="000000"/>
              </w:rPr>
              <w:t>雨水</w:t>
            </w:r>
            <w:r>
              <w:rPr>
                <w:rFonts w:ascii="仿宋_GB2312" w:hAnsi="仿宋_GB2312" w:cs="仿宋_GB2312" w:eastAsia="仿宋_GB2312"/>
                <w:sz w:val="24"/>
                <w:b/>
                <w:color w:val="000000"/>
              </w:rPr>
              <w:t>监测点位、监测项目及监测频次</w:t>
            </w:r>
          </w:p>
          <w:tbl>
            <w:tblPr>
              <w:tblBorders>
                <w:top w:val="none" w:color="000000" w:sz="4"/>
                <w:left w:val="none" w:color="000000" w:sz="4"/>
                <w:bottom w:val="none" w:color="000000" w:sz="4"/>
                <w:right w:val="none" w:color="000000" w:sz="4"/>
                <w:insideH w:val="none"/>
                <w:insideV w:val="none"/>
              </w:tblBorders>
            </w:tblPr>
            <w:tblGrid>
              <w:gridCol w:w="330"/>
              <w:gridCol w:w="558"/>
              <w:gridCol w:w="475"/>
              <w:gridCol w:w="398"/>
              <w:gridCol w:w="433"/>
              <w:gridCol w:w="358"/>
            </w:tblGrid>
            <w:tr>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污染源类型</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监测点位</w:t>
                  </w:r>
                </w:p>
              </w:tc>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监测项目</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监测频次</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监测方式</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3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雨水</w:t>
                  </w:r>
                </w:p>
              </w:tc>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雨水排放口</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化学需氧量</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330"/>
                  <w:vMerge/>
                  <w:tcBorders>
                    <w:top w:val="none" w:color="000000" w:sz="4"/>
                    <w:left w:val="single" w:color="000000" w:sz="4"/>
                    <w:bottom w:val="single" w:color="000000" w:sz="4"/>
                    <w:right w:val="single" w:color="000000" w:sz="4"/>
                  </w:tcBorders>
                </w:tcPr>
                <w:p/>
              </w:tc>
              <w:tc>
                <w:tcPr>
                  <w:tcW w:type="dxa" w:w="558"/>
                  <w:vMerge/>
                  <w:tcBorders>
                    <w:top w:val="none" w:color="000000" w:sz="4"/>
                    <w:left w:val="single" w:color="000000" w:sz="4"/>
                    <w:bottom w:val="single" w:color="000000" w:sz="4"/>
                    <w:right w:val="single" w:color="000000" w:sz="4"/>
                  </w:tcBorders>
                </w:tcP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氨氮</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330"/>
                  <w:vMerge/>
                  <w:tcBorders>
                    <w:top w:val="none" w:color="000000" w:sz="4"/>
                    <w:left w:val="single" w:color="000000" w:sz="4"/>
                    <w:bottom w:val="single" w:color="000000" w:sz="4"/>
                    <w:right w:val="single" w:color="000000" w:sz="4"/>
                  </w:tcBorders>
                </w:tcPr>
                <w:p/>
              </w:tc>
              <w:tc>
                <w:tcPr>
                  <w:tcW w:type="dxa" w:w="558"/>
                  <w:vMerge/>
                  <w:tcBorders>
                    <w:top w:val="none" w:color="000000" w:sz="4"/>
                    <w:left w:val="single" w:color="000000" w:sz="4"/>
                    <w:bottom w:val="single" w:color="000000" w:sz="4"/>
                    <w:right w:val="single" w:color="000000" w:sz="4"/>
                  </w:tcBorders>
                </w:tcP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悬浮物</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1次/月</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备注：</w:t>
                  </w:r>
                  <w:r>
                    <w:rPr>
                      <w:rFonts w:ascii="仿宋_GB2312" w:hAnsi="仿宋_GB2312" w:cs="仿宋_GB2312" w:eastAsia="仿宋_GB2312"/>
                      <w:sz w:val="24"/>
                    </w:rPr>
                    <w:t>1</w:t>
                  </w:r>
                  <w:r>
                    <w:rPr>
                      <w:rFonts w:ascii="仿宋_GB2312" w:hAnsi="仿宋_GB2312" w:cs="仿宋_GB2312" w:eastAsia="仿宋_GB2312"/>
                      <w:sz w:val="24"/>
                    </w:rPr>
                    <w:t>、氨氮污染物种类依据《排污单位自行监测技术指南 固体废物焚烧（</w:t>
                  </w:r>
                  <w:r>
                    <w:rPr>
                      <w:rFonts w:ascii="仿宋_GB2312" w:hAnsi="仿宋_GB2312" w:cs="仿宋_GB2312" w:eastAsia="仿宋_GB2312"/>
                      <w:sz w:val="24"/>
                    </w:rPr>
                    <w:t>HJ 1205-2021</w:t>
                  </w:r>
                  <w:r>
                    <w:rPr>
                      <w:rFonts w:ascii="仿宋_GB2312" w:hAnsi="仿宋_GB2312" w:cs="仿宋_GB2312" w:eastAsia="仿宋_GB2312"/>
                      <w:sz w:val="24"/>
                    </w:rPr>
                    <w:t>）》；</w:t>
                  </w:r>
                </w:p>
                <w:p>
                  <w:pPr>
                    <w:pStyle w:val="null3"/>
                    <w:ind w:firstLine="720"/>
                    <w:jc w:val="left"/>
                  </w:pPr>
                  <w:r>
                    <w:rPr>
                      <w:rFonts w:ascii="仿宋_GB2312" w:hAnsi="仿宋_GB2312" w:cs="仿宋_GB2312" w:eastAsia="仿宋_GB2312"/>
                      <w:sz w:val="24"/>
                    </w:rPr>
                    <w:t>2</w:t>
                  </w:r>
                  <w:r>
                    <w:rPr>
                      <w:rFonts w:ascii="仿宋_GB2312" w:hAnsi="仿宋_GB2312" w:cs="仿宋_GB2312" w:eastAsia="仿宋_GB2312"/>
                      <w:sz w:val="24"/>
                    </w:rPr>
                    <w:t>、雨水排放口每月有流动水排放时开展一次监测，如监测一年无异常情况，可放宽至每季度有流动水排放时开展一次监测。</w:t>
                  </w:r>
                </w:p>
              </w:tc>
            </w:tr>
          </w:tbl>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地下水</w:t>
            </w:r>
            <w:r>
              <w:rPr>
                <w:rFonts w:ascii="仿宋_GB2312" w:hAnsi="仿宋_GB2312" w:cs="仿宋_GB2312" w:eastAsia="仿宋_GB2312"/>
                <w:sz w:val="24"/>
                <w:b/>
                <w:color w:val="000000"/>
              </w:rPr>
              <w:t>监测方案</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地下水</w:t>
            </w:r>
            <w:r>
              <w:rPr>
                <w:rFonts w:ascii="仿宋_GB2312" w:hAnsi="仿宋_GB2312" w:cs="仿宋_GB2312" w:eastAsia="仿宋_GB2312"/>
                <w:sz w:val="24"/>
                <w:color w:val="000000"/>
              </w:rPr>
              <w:t>监测</w:t>
            </w:r>
            <w:r>
              <w:rPr>
                <w:rFonts w:ascii="仿宋_GB2312" w:hAnsi="仿宋_GB2312" w:cs="仿宋_GB2312" w:eastAsia="仿宋_GB2312"/>
                <w:sz w:val="24"/>
                <w:color w:val="000000"/>
              </w:rPr>
              <w:t>内容</w:t>
            </w:r>
          </w:p>
          <w:p>
            <w:pPr>
              <w:pStyle w:val="null3"/>
              <w:ind w:firstLine="480"/>
              <w:jc w:val="both"/>
            </w:pPr>
            <w:r>
              <w:rPr>
                <w:rFonts w:ascii="仿宋_GB2312" w:hAnsi="仿宋_GB2312" w:cs="仿宋_GB2312" w:eastAsia="仿宋_GB2312"/>
                <w:sz w:val="24"/>
                <w:color w:val="000000"/>
              </w:rPr>
              <w:t>地下水</w:t>
            </w:r>
            <w:r>
              <w:rPr>
                <w:rFonts w:ascii="仿宋_GB2312" w:hAnsi="仿宋_GB2312" w:cs="仿宋_GB2312" w:eastAsia="仿宋_GB2312"/>
                <w:sz w:val="24"/>
                <w:color w:val="000000"/>
              </w:rPr>
              <w:t>监测点位、监测项目及监测频次</w:t>
            </w:r>
            <w:r>
              <w:rPr>
                <w:rFonts w:ascii="仿宋_GB2312" w:hAnsi="仿宋_GB2312" w:cs="仿宋_GB2312" w:eastAsia="仿宋_GB2312"/>
                <w:sz w:val="24"/>
                <w:color w:val="000000"/>
              </w:rPr>
              <w:t>见表</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b/>
                <w:color w:val="000000"/>
              </w:rPr>
              <w:t>表</w:t>
            </w:r>
            <w:r>
              <w:rPr>
                <w:rFonts w:ascii="仿宋_GB2312" w:hAnsi="仿宋_GB2312" w:cs="仿宋_GB2312" w:eastAsia="仿宋_GB2312"/>
                <w:sz w:val="24"/>
                <w:b/>
                <w:color w:val="000000"/>
              </w:rPr>
              <w:t>5</w:t>
            </w:r>
            <w:r>
              <w:rPr>
                <w:rFonts w:ascii="仿宋_GB2312" w:hAnsi="仿宋_GB2312" w:cs="仿宋_GB2312" w:eastAsia="仿宋_GB2312"/>
                <w:sz w:val="21"/>
                <w:b/>
              </w:rPr>
              <w:t xml:space="preserve"> </w:t>
            </w:r>
            <w:r>
              <w:rPr>
                <w:rFonts w:ascii="仿宋_GB2312" w:hAnsi="仿宋_GB2312" w:cs="仿宋_GB2312" w:eastAsia="仿宋_GB2312"/>
                <w:sz w:val="24"/>
                <w:b/>
                <w:color w:val="000000"/>
              </w:rPr>
              <w:t>地下水</w:t>
            </w:r>
            <w:r>
              <w:rPr>
                <w:rFonts w:ascii="仿宋_GB2312" w:hAnsi="仿宋_GB2312" w:cs="仿宋_GB2312" w:eastAsia="仿宋_GB2312"/>
                <w:sz w:val="24"/>
                <w:b/>
                <w:color w:val="000000"/>
              </w:rPr>
              <w:t>监测点位、监测项目及监测频次</w:t>
            </w:r>
          </w:p>
          <w:tbl>
            <w:tblPr>
              <w:tblBorders>
                <w:top w:val="none" w:color="000000" w:sz="4"/>
                <w:left w:val="none" w:color="000000" w:sz="4"/>
                <w:bottom w:val="none" w:color="000000" w:sz="4"/>
                <w:right w:val="none" w:color="000000" w:sz="4"/>
                <w:insideH w:val="none"/>
                <w:insideV w:val="none"/>
              </w:tblBorders>
            </w:tblPr>
            <w:tblGrid>
              <w:gridCol w:w="327"/>
              <w:gridCol w:w="557"/>
              <w:gridCol w:w="474"/>
              <w:gridCol w:w="398"/>
              <w:gridCol w:w="433"/>
              <w:gridCol w:w="362"/>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污染源类型</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监测点位</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监测项目</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监测频次</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监测方式</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3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地下水</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本底井</w:t>
                  </w:r>
                </w:p>
              </w:tc>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pH</w:t>
                  </w:r>
                  <w:r>
                    <w:rPr>
                      <w:rFonts w:ascii="仿宋_GB2312" w:hAnsi="仿宋_GB2312" w:cs="仿宋_GB2312" w:eastAsia="仿宋_GB2312"/>
                      <w:sz w:val="24"/>
                    </w:rPr>
                    <w:t>值、溶解性总固体、总硬度、高锰酸盐指数、总大肠菌群、总汞、总镉、六价铬、总砷、总铅、总铜、总锌、总铁、总</w:t>
                  </w:r>
                  <w:r>
                    <w:rPr>
                      <w:rFonts w:ascii="仿宋_GB2312" w:hAnsi="仿宋_GB2312" w:cs="仿宋_GB2312" w:eastAsia="仿宋_GB2312"/>
                      <w:sz w:val="24"/>
                    </w:rPr>
                    <w:t>锰</w:t>
                  </w:r>
                  <w:r>
                    <w:rPr>
                      <w:rFonts w:ascii="仿宋_GB2312" w:hAnsi="仿宋_GB2312" w:cs="仿宋_GB2312" w:eastAsia="仿宋_GB2312"/>
                      <w:sz w:val="24"/>
                    </w:rPr>
                    <w:t>、氨氮（以</w:t>
                  </w:r>
                  <w:r>
                    <w:rPr>
                      <w:rFonts w:ascii="仿宋_GB2312" w:hAnsi="仿宋_GB2312" w:cs="仿宋_GB2312" w:eastAsia="仿宋_GB2312"/>
                      <w:sz w:val="24"/>
                    </w:rPr>
                    <w:t>N</w:t>
                  </w:r>
                  <w:r>
                    <w:rPr>
                      <w:rFonts w:ascii="仿宋_GB2312" w:hAnsi="仿宋_GB2312" w:cs="仿宋_GB2312" w:eastAsia="仿宋_GB2312"/>
                      <w:sz w:val="24"/>
                    </w:rPr>
                    <w:t>计）、亚硝酸盐、硝酸盐、氰化物、氯化物、</w:t>
                  </w:r>
                  <w:r>
                    <w:rPr>
                      <w:rFonts w:ascii="仿宋_GB2312" w:hAnsi="仿宋_GB2312" w:cs="仿宋_GB2312" w:eastAsia="仿宋_GB2312"/>
                      <w:sz w:val="24"/>
                    </w:rPr>
                    <w:t>挥发酚</w:t>
                  </w:r>
                  <w:r>
                    <w:rPr>
                      <w:rFonts w:ascii="仿宋_GB2312" w:hAnsi="仿宋_GB2312" w:cs="仿宋_GB2312" w:eastAsia="仿宋_GB2312"/>
                      <w:sz w:val="24"/>
                    </w:rPr>
                    <w:t>、硫酸盐、氟化物</w:t>
                  </w:r>
                  <w:r>
                    <w:rPr>
                      <w:rFonts w:ascii="仿宋_GB2312" w:hAnsi="仿宋_GB2312" w:cs="仿宋_GB2312" w:eastAsia="仿宋_GB2312"/>
                      <w:sz w:val="24"/>
                    </w:rPr>
                    <w:t>、总铬、镍、铍</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月</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327"/>
                  <w:vMerge/>
                  <w:tcBorders>
                    <w:top w:val="none" w:color="000000" w:sz="4"/>
                    <w:left w:val="single" w:color="000000" w:sz="4"/>
                    <w:bottom w:val="single" w:color="000000" w:sz="4"/>
                    <w:right w:val="single" w:color="000000" w:sz="4"/>
                  </w:tcBorders>
                </w:tcP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扩散井</w:t>
                  </w:r>
                </w:p>
              </w:tc>
              <w:tc>
                <w:tcPr>
                  <w:tcW w:type="dxa" w:w="474"/>
                  <w:vMerge/>
                  <w:tcBorders>
                    <w:top w:val="none" w:color="000000" w:sz="4"/>
                    <w:left w:val="single" w:color="000000" w:sz="4"/>
                    <w:bottom w:val="single" w:color="000000" w:sz="4"/>
                    <w:right w:val="single" w:color="000000" w:sz="4"/>
                  </w:tcBorders>
                </w:tcP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/2</w:t>
                  </w:r>
                  <w:r>
                    <w:rPr>
                      <w:rFonts w:ascii="仿宋_GB2312" w:hAnsi="仿宋_GB2312" w:cs="仿宋_GB2312" w:eastAsia="仿宋_GB2312"/>
                      <w:sz w:val="24"/>
                    </w:rPr>
                    <w:t>周</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327"/>
                  <w:vMerge/>
                  <w:tcBorders>
                    <w:top w:val="none" w:color="000000" w:sz="4"/>
                    <w:left w:val="single" w:color="000000" w:sz="4"/>
                    <w:bottom w:val="single" w:color="000000" w:sz="4"/>
                    <w:right w:val="single" w:color="000000" w:sz="4"/>
                  </w:tcBorders>
                </w:tcP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排水井</w:t>
                  </w:r>
                </w:p>
              </w:tc>
              <w:tc>
                <w:tcPr>
                  <w:tcW w:type="dxa" w:w="474"/>
                  <w:vMerge/>
                  <w:tcBorders>
                    <w:top w:val="none" w:color="000000" w:sz="4"/>
                    <w:left w:val="single" w:color="000000" w:sz="4"/>
                    <w:bottom w:val="single" w:color="000000" w:sz="4"/>
                    <w:right w:val="single" w:color="000000" w:sz="4"/>
                  </w:tcBorders>
                </w:tcP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周</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327"/>
                  <w:vMerge/>
                  <w:tcBorders>
                    <w:top w:val="none" w:color="000000" w:sz="4"/>
                    <w:left w:val="single" w:color="000000" w:sz="4"/>
                    <w:bottom w:val="single" w:color="000000" w:sz="4"/>
                    <w:right w:val="single" w:color="000000" w:sz="4"/>
                  </w:tcBorders>
                </w:tcP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监视井</w:t>
                  </w:r>
                </w:p>
              </w:tc>
              <w:tc>
                <w:tcPr>
                  <w:tcW w:type="dxa" w:w="474"/>
                  <w:vMerge/>
                  <w:tcBorders>
                    <w:top w:val="none" w:color="000000" w:sz="4"/>
                    <w:left w:val="single" w:color="000000" w:sz="4"/>
                    <w:bottom w:val="single" w:color="000000" w:sz="4"/>
                    <w:right w:val="single" w:color="000000" w:sz="4"/>
                  </w:tcBorders>
                </w:tcP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/2</w:t>
                  </w:r>
                  <w:r>
                    <w:rPr>
                      <w:rFonts w:ascii="仿宋_GB2312" w:hAnsi="仿宋_GB2312" w:cs="仿宋_GB2312" w:eastAsia="仿宋_GB2312"/>
                      <w:sz w:val="24"/>
                    </w:rPr>
                    <w:t>周</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备注：</w:t>
                  </w:r>
                  <w:r>
                    <w:rPr>
                      <w:rFonts w:ascii="仿宋_GB2312" w:hAnsi="仿宋_GB2312" w:cs="仿宋_GB2312" w:eastAsia="仿宋_GB2312"/>
                      <w:sz w:val="24"/>
                    </w:rPr>
                    <w:t>1</w:t>
                  </w:r>
                  <w:r>
                    <w:rPr>
                      <w:rFonts w:ascii="仿宋_GB2312" w:hAnsi="仿宋_GB2312" w:cs="仿宋_GB2312" w:eastAsia="仿宋_GB2312"/>
                      <w:sz w:val="24"/>
                    </w:rPr>
                    <w:t>、垃圾填埋场地下水设置有本底井、监视井、扩散井各</w:t>
                  </w:r>
                  <w:r>
                    <w:rPr>
                      <w:rFonts w:ascii="仿宋_GB2312" w:hAnsi="仿宋_GB2312" w:cs="仿宋_GB2312" w:eastAsia="仿宋_GB2312"/>
                      <w:sz w:val="24"/>
                    </w:rPr>
                    <w:t>2</w:t>
                  </w:r>
                  <w:r>
                    <w:rPr>
                      <w:rFonts w:ascii="仿宋_GB2312" w:hAnsi="仿宋_GB2312" w:cs="仿宋_GB2312" w:eastAsia="仿宋_GB2312"/>
                      <w:sz w:val="24"/>
                    </w:rPr>
                    <w:t>口</w:t>
                  </w:r>
                  <w:r>
                    <w:rPr>
                      <w:rFonts w:ascii="仿宋_GB2312" w:hAnsi="仿宋_GB2312" w:cs="仿宋_GB2312" w:eastAsia="仿宋_GB2312"/>
                      <w:sz w:val="24"/>
                    </w:rPr>
                    <w:t>，排水井</w:t>
                  </w:r>
                  <w:r>
                    <w:rPr>
                      <w:rFonts w:ascii="仿宋_GB2312" w:hAnsi="仿宋_GB2312" w:cs="仿宋_GB2312" w:eastAsia="仿宋_GB2312"/>
                      <w:sz w:val="24"/>
                    </w:rPr>
                    <w:t>1</w:t>
                  </w:r>
                  <w:r>
                    <w:rPr>
                      <w:rFonts w:ascii="仿宋_GB2312" w:hAnsi="仿宋_GB2312" w:cs="仿宋_GB2312" w:eastAsia="仿宋_GB2312"/>
                      <w:sz w:val="24"/>
                    </w:rPr>
                    <w:t>口</w:t>
                  </w:r>
                  <w:r>
                    <w:rPr>
                      <w:rFonts w:ascii="仿宋_GB2312" w:hAnsi="仿宋_GB2312" w:cs="仿宋_GB2312" w:eastAsia="仿宋_GB2312"/>
                      <w:sz w:val="24"/>
                    </w:rPr>
                    <w:t>；</w:t>
                  </w:r>
                </w:p>
                <w:p>
                  <w:pPr>
                    <w:pStyle w:val="null3"/>
                    <w:ind w:firstLine="720"/>
                    <w:jc w:val="left"/>
                  </w:pPr>
                  <w:r>
                    <w:rPr>
                      <w:rFonts w:ascii="仿宋_GB2312" w:hAnsi="仿宋_GB2312" w:cs="仿宋_GB2312" w:eastAsia="仿宋_GB2312"/>
                      <w:sz w:val="24"/>
                    </w:rPr>
                    <w:t>2</w:t>
                  </w:r>
                  <w:r>
                    <w:rPr>
                      <w:rFonts w:ascii="仿宋_GB2312" w:hAnsi="仿宋_GB2312" w:cs="仿宋_GB2312" w:eastAsia="仿宋_GB2312"/>
                      <w:sz w:val="24"/>
                    </w:rPr>
                    <w:t>、污染物种类和监测频次依据《生活垃圾填埋场污染控制标准》</w:t>
                  </w:r>
                  <w:r>
                    <w:rPr>
                      <w:rFonts w:ascii="仿宋_GB2312" w:hAnsi="仿宋_GB2312" w:cs="仿宋_GB2312" w:eastAsia="仿宋_GB2312"/>
                      <w:sz w:val="24"/>
                    </w:rPr>
                    <w:t xml:space="preserve">GB </w:t>
                  </w:r>
                  <w:r>
                    <w:rPr>
                      <w:rFonts w:ascii="仿宋_GB2312" w:hAnsi="仿宋_GB2312" w:cs="仿宋_GB2312" w:eastAsia="仿宋_GB2312"/>
                      <w:sz w:val="24"/>
                    </w:rPr>
                    <w:t>16889-2024</w:t>
                  </w:r>
                  <w:r>
                    <w:rPr>
                      <w:rFonts w:ascii="仿宋_GB2312" w:hAnsi="仿宋_GB2312" w:cs="仿宋_GB2312" w:eastAsia="仿宋_GB2312"/>
                      <w:sz w:val="24"/>
                    </w:rPr>
                    <w:t>。</w:t>
                  </w:r>
                </w:p>
              </w:tc>
            </w:tr>
          </w:tbl>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）噪声监测方案</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、噪声监测</w:t>
            </w:r>
            <w:r>
              <w:rPr>
                <w:rFonts w:ascii="仿宋_GB2312" w:hAnsi="仿宋_GB2312" w:cs="仿宋_GB2312" w:eastAsia="仿宋_GB2312"/>
                <w:sz w:val="24"/>
                <w:color w:val="000000"/>
              </w:rPr>
              <w:t>内容</w:t>
            </w:r>
          </w:p>
          <w:p>
            <w:pPr>
              <w:pStyle w:val="null3"/>
              <w:ind w:firstLine="480"/>
              <w:jc w:val="left"/>
            </w:pPr>
            <w:r>
              <w:rPr>
                <w:rFonts w:ascii="仿宋_GB2312" w:hAnsi="仿宋_GB2312" w:cs="仿宋_GB2312" w:eastAsia="仿宋_GB2312"/>
                <w:sz w:val="24"/>
                <w:color w:val="000000"/>
              </w:rPr>
              <w:t>厂界噪声监测点位、监测项目及监测频次</w:t>
            </w:r>
            <w:r>
              <w:rPr>
                <w:rFonts w:ascii="仿宋_GB2312" w:hAnsi="仿宋_GB2312" w:cs="仿宋_GB2312" w:eastAsia="仿宋_GB2312"/>
                <w:sz w:val="24"/>
                <w:color w:val="000000"/>
              </w:rPr>
              <w:t>见表</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b/>
                <w:color w:val="000000"/>
              </w:rPr>
              <w:t>表</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厂界噪声监测点位、监测项目及监测频次一览表</w:t>
            </w:r>
          </w:p>
          <w:tbl>
            <w:tblPr>
              <w:tblBorders>
                <w:top w:val="none" w:color="000000" w:sz="4"/>
                <w:left w:val="none" w:color="000000" w:sz="4"/>
                <w:bottom w:val="none" w:color="000000" w:sz="4"/>
                <w:right w:val="none" w:color="000000" w:sz="4"/>
                <w:insideH w:val="none"/>
                <w:insideV w:val="none"/>
              </w:tblBorders>
            </w:tblPr>
            <w:tblGrid>
              <w:gridCol w:w="257"/>
              <w:gridCol w:w="374"/>
              <w:gridCol w:w="528"/>
              <w:gridCol w:w="627"/>
              <w:gridCol w:w="438"/>
              <w:gridCol w:w="329"/>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类型</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监测项目</w:t>
                  </w:r>
                </w:p>
              </w:tc>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监测点位</w:t>
                  </w:r>
                </w:p>
              </w:tc>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监测频次</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监测方式</w:t>
                  </w:r>
                </w:p>
              </w:tc>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厂界噪声</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LeqA</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厂</w:t>
                  </w:r>
                  <w:r>
                    <w:rPr>
                      <w:rFonts w:ascii="仿宋_GB2312" w:hAnsi="仿宋_GB2312" w:cs="仿宋_GB2312" w:eastAsia="仿宋_GB2312"/>
                      <w:sz w:val="24"/>
                    </w:rPr>
                    <w:t>界东</w:t>
                  </w:r>
                  <w:r>
                    <w:rPr>
                      <w:rFonts w:ascii="仿宋_GB2312" w:hAnsi="仿宋_GB2312" w:cs="仿宋_GB2312" w:eastAsia="仿宋_GB2312"/>
                      <w:sz w:val="24"/>
                    </w:rPr>
                    <w:t>外</w:t>
                  </w:r>
                  <w:r>
                    <w:rPr>
                      <w:rFonts w:ascii="仿宋_GB2312" w:hAnsi="仿宋_GB2312" w:cs="仿宋_GB2312" w:eastAsia="仿宋_GB2312"/>
                      <w:sz w:val="24"/>
                    </w:rPr>
                    <w:t>1</w:t>
                  </w:r>
                  <w:r>
                    <w:rPr>
                      <w:rFonts w:ascii="仿宋_GB2312" w:hAnsi="仿宋_GB2312" w:cs="仿宋_GB2312" w:eastAsia="仿宋_GB2312"/>
                      <w:sz w:val="24"/>
                    </w:rPr>
                    <w:t>米</w:t>
                  </w:r>
                </w:p>
              </w:tc>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季度</w:t>
                  </w:r>
                  <w:r>
                    <w:rPr>
                      <w:rFonts w:ascii="仿宋_GB2312" w:hAnsi="仿宋_GB2312" w:cs="仿宋_GB2312" w:eastAsia="仿宋_GB2312"/>
                      <w:sz w:val="24"/>
                    </w:rPr>
                    <w:t>，昼</w:t>
                  </w:r>
                  <w:r>
                    <w:rPr>
                      <w:rFonts w:ascii="仿宋_GB2312" w:hAnsi="仿宋_GB2312" w:cs="仿宋_GB2312" w:eastAsia="仿宋_GB2312"/>
                      <w:sz w:val="24"/>
                    </w:rPr>
                    <w:t>夜</w:t>
                  </w:r>
                  <w:r>
                    <w:rPr>
                      <w:rFonts w:ascii="仿宋_GB2312" w:hAnsi="仿宋_GB2312" w:cs="仿宋_GB2312" w:eastAsia="仿宋_GB2312"/>
                      <w:sz w:val="24"/>
                    </w:rPr>
                    <w:t>间</w:t>
                  </w:r>
                  <w:r>
                    <w:rPr>
                      <w:rFonts w:ascii="仿宋_GB2312" w:hAnsi="仿宋_GB2312" w:cs="仿宋_GB2312" w:eastAsia="仿宋_GB2312"/>
                      <w:sz w:val="24"/>
                    </w:rPr>
                    <w:t>各</w:t>
                  </w:r>
                  <w:r>
                    <w:rPr>
                      <w:rFonts w:ascii="仿宋_GB2312" w:hAnsi="仿宋_GB2312" w:cs="仿宋_GB2312" w:eastAsia="仿宋_GB2312"/>
                      <w:sz w:val="24"/>
                    </w:rPr>
                    <w:t>一次</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57"/>
                  <w:vMerge/>
                  <w:tcBorders>
                    <w:top w:val="none" w:color="000000" w:sz="4"/>
                    <w:left w:val="single" w:color="000000" w:sz="4"/>
                    <w:bottom w:val="single" w:color="000000" w:sz="4"/>
                    <w:right w:val="single" w:color="000000" w:sz="4"/>
                  </w:tcBorders>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LeqA</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厂</w:t>
                  </w:r>
                  <w:r>
                    <w:rPr>
                      <w:rFonts w:ascii="仿宋_GB2312" w:hAnsi="仿宋_GB2312" w:cs="仿宋_GB2312" w:eastAsia="仿宋_GB2312"/>
                      <w:sz w:val="24"/>
                    </w:rPr>
                    <w:t>界南</w:t>
                  </w:r>
                  <w:r>
                    <w:rPr>
                      <w:rFonts w:ascii="仿宋_GB2312" w:hAnsi="仿宋_GB2312" w:cs="仿宋_GB2312" w:eastAsia="仿宋_GB2312"/>
                      <w:sz w:val="24"/>
                    </w:rPr>
                    <w:t>外</w:t>
                  </w:r>
                  <w:r>
                    <w:rPr>
                      <w:rFonts w:ascii="仿宋_GB2312" w:hAnsi="仿宋_GB2312" w:cs="仿宋_GB2312" w:eastAsia="仿宋_GB2312"/>
                      <w:sz w:val="24"/>
                    </w:rPr>
                    <w:t>1</w:t>
                  </w:r>
                  <w:r>
                    <w:rPr>
                      <w:rFonts w:ascii="仿宋_GB2312" w:hAnsi="仿宋_GB2312" w:cs="仿宋_GB2312" w:eastAsia="仿宋_GB2312"/>
                      <w:sz w:val="24"/>
                    </w:rPr>
                    <w:t>米</w:t>
                  </w:r>
                </w:p>
              </w:tc>
              <w:tc>
                <w:tcPr>
                  <w:tcW w:type="dxa" w:w="62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29"/>
                  <w:vMerge/>
                  <w:tcBorders>
                    <w:top w:val="none" w:color="000000" w:sz="4"/>
                    <w:left w:val="single" w:color="000000" w:sz="4"/>
                    <w:bottom w:val="single" w:color="000000" w:sz="4"/>
                    <w:right w:val="single" w:color="000000" w:sz="4"/>
                  </w:tcBorders>
                </w:tcPr>
                <w:p/>
              </w:tc>
            </w:tr>
            <w:tr>
              <w:tc>
                <w:tcPr>
                  <w:tcW w:type="dxa" w:w="257"/>
                  <w:vMerge/>
                  <w:tcBorders>
                    <w:top w:val="none" w:color="000000" w:sz="4"/>
                    <w:left w:val="single" w:color="000000" w:sz="4"/>
                    <w:bottom w:val="single" w:color="000000" w:sz="4"/>
                    <w:right w:val="single" w:color="000000" w:sz="4"/>
                  </w:tcBorders>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LeqA</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厂</w:t>
                  </w:r>
                  <w:r>
                    <w:rPr>
                      <w:rFonts w:ascii="仿宋_GB2312" w:hAnsi="仿宋_GB2312" w:cs="仿宋_GB2312" w:eastAsia="仿宋_GB2312"/>
                      <w:sz w:val="24"/>
                    </w:rPr>
                    <w:t>界西</w:t>
                  </w:r>
                  <w:r>
                    <w:rPr>
                      <w:rFonts w:ascii="仿宋_GB2312" w:hAnsi="仿宋_GB2312" w:cs="仿宋_GB2312" w:eastAsia="仿宋_GB2312"/>
                      <w:sz w:val="24"/>
                    </w:rPr>
                    <w:t>外</w:t>
                  </w:r>
                  <w:r>
                    <w:rPr>
                      <w:rFonts w:ascii="仿宋_GB2312" w:hAnsi="仿宋_GB2312" w:cs="仿宋_GB2312" w:eastAsia="仿宋_GB2312"/>
                      <w:sz w:val="24"/>
                    </w:rPr>
                    <w:t>1</w:t>
                  </w:r>
                  <w:r>
                    <w:rPr>
                      <w:rFonts w:ascii="仿宋_GB2312" w:hAnsi="仿宋_GB2312" w:cs="仿宋_GB2312" w:eastAsia="仿宋_GB2312"/>
                      <w:sz w:val="24"/>
                    </w:rPr>
                    <w:t>米</w:t>
                  </w:r>
                </w:p>
              </w:tc>
              <w:tc>
                <w:tcPr>
                  <w:tcW w:type="dxa" w:w="62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29"/>
                  <w:vMerge/>
                  <w:tcBorders>
                    <w:top w:val="none" w:color="000000" w:sz="4"/>
                    <w:left w:val="single" w:color="000000" w:sz="4"/>
                    <w:bottom w:val="single" w:color="000000" w:sz="4"/>
                    <w:right w:val="single" w:color="000000" w:sz="4"/>
                  </w:tcBorders>
                </w:tcPr>
                <w:p/>
              </w:tc>
            </w:tr>
            <w:tr>
              <w:tc>
                <w:tcPr>
                  <w:tcW w:type="dxa" w:w="257"/>
                  <w:vMerge/>
                  <w:tcBorders>
                    <w:top w:val="none" w:color="000000" w:sz="4"/>
                    <w:left w:val="single" w:color="000000" w:sz="4"/>
                    <w:bottom w:val="single" w:color="000000" w:sz="4"/>
                    <w:right w:val="single" w:color="000000" w:sz="4"/>
                  </w:tcBorders>
                </w:tcP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LeqA</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厂</w:t>
                  </w:r>
                  <w:r>
                    <w:rPr>
                      <w:rFonts w:ascii="仿宋_GB2312" w:hAnsi="仿宋_GB2312" w:cs="仿宋_GB2312" w:eastAsia="仿宋_GB2312"/>
                      <w:sz w:val="24"/>
                    </w:rPr>
                    <w:t>界北</w:t>
                  </w:r>
                  <w:r>
                    <w:rPr>
                      <w:rFonts w:ascii="仿宋_GB2312" w:hAnsi="仿宋_GB2312" w:cs="仿宋_GB2312" w:eastAsia="仿宋_GB2312"/>
                      <w:sz w:val="24"/>
                    </w:rPr>
                    <w:t>外</w:t>
                  </w:r>
                  <w:r>
                    <w:rPr>
                      <w:rFonts w:ascii="仿宋_GB2312" w:hAnsi="仿宋_GB2312" w:cs="仿宋_GB2312" w:eastAsia="仿宋_GB2312"/>
                      <w:sz w:val="24"/>
                    </w:rPr>
                    <w:t>1</w:t>
                  </w:r>
                  <w:r>
                    <w:rPr>
                      <w:rFonts w:ascii="仿宋_GB2312" w:hAnsi="仿宋_GB2312" w:cs="仿宋_GB2312" w:eastAsia="仿宋_GB2312"/>
                      <w:sz w:val="24"/>
                    </w:rPr>
                    <w:t>米</w:t>
                  </w:r>
                </w:p>
              </w:tc>
              <w:tc>
                <w:tcPr>
                  <w:tcW w:type="dxa" w:w="627"/>
                  <w:vMerge/>
                  <w:tcBorders>
                    <w:top w:val="none" w:color="000000" w:sz="4"/>
                    <w:left w:val="single" w:color="000000" w:sz="4"/>
                    <w:bottom w:val="single" w:color="000000" w:sz="4"/>
                    <w:right w:val="single" w:color="000000" w:sz="4"/>
                  </w:tcBorders>
                </w:tc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29"/>
                  <w:vMerge/>
                  <w:tcBorders>
                    <w:top w:val="none" w:color="000000" w:sz="4"/>
                    <w:left w:val="single" w:color="000000" w:sz="4"/>
                    <w:bottom w:val="single" w:color="000000" w:sz="4"/>
                    <w:right w:val="single" w:color="000000" w:sz="4"/>
                  </w:tcBorders>
                </w:tc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备注：监测频次依据环评和《排污单位自行监测技术指南</w:t>
                  </w:r>
                  <w:r>
                    <w:rPr>
                      <w:rFonts w:ascii="仿宋_GB2312" w:hAnsi="仿宋_GB2312" w:cs="仿宋_GB2312" w:eastAsia="仿宋_GB2312"/>
                      <w:sz w:val="24"/>
                    </w:rPr>
                    <w:t>固体废物焚烧》（</w:t>
                  </w:r>
                  <w:r>
                    <w:rPr>
                      <w:rFonts w:ascii="仿宋_GB2312" w:hAnsi="仿宋_GB2312" w:cs="仿宋_GB2312" w:eastAsia="仿宋_GB2312"/>
                      <w:sz w:val="24"/>
                    </w:rPr>
                    <w:t>HJ 1205-2021</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七</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土壤</w:t>
            </w:r>
            <w:r>
              <w:rPr>
                <w:rFonts w:ascii="仿宋_GB2312" w:hAnsi="仿宋_GB2312" w:cs="仿宋_GB2312" w:eastAsia="仿宋_GB2312"/>
                <w:sz w:val="24"/>
                <w:b/>
                <w:color w:val="000000"/>
              </w:rPr>
              <w:t>监测方案</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土壤</w:t>
            </w:r>
            <w:r>
              <w:rPr>
                <w:rFonts w:ascii="仿宋_GB2312" w:hAnsi="仿宋_GB2312" w:cs="仿宋_GB2312" w:eastAsia="仿宋_GB2312"/>
                <w:sz w:val="24"/>
                <w:color w:val="000000"/>
              </w:rPr>
              <w:t>监测</w:t>
            </w:r>
            <w:r>
              <w:rPr>
                <w:rFonts w:ascii="仿宋_GB2312" w:hAnsi="仿宋_GB2312" w:cs="仿宋_GB2312" w:eastAsia="仿宋_GB2312"/>
                <w:sz w:val="24"/>
                <w:color w:val="000000"/>
              </w:rPr>
              <w:t>内容</w:t>
            </w:r>
          </w:p>
          <w:p>
            <w:pPr>
              <w:pStyle w:val="null3"/>
              <w:ind w:firstLine="480"/>
              <w:jc w:val="both"/>
            </w:pPr>
            <w:r>
              <w:rPr>
                <w:rFonts w:ascii="仿宋_GB2312" w:hAnsi="仿宋_GB2312" w:cs="仿宋_GB2312" w:eastAsia="仿宋_GB2312"/>
                <w:sz w:val="24"/>
                <w:color w:val="000000"/>
              </w:rPr>
              <w:t>土壤</w:t>
            </w:r>
            <w:r>
              <w:rPr>
                <w:rFonts w:ascii="仿宋_GB2312" w:hAnsi="仿宋_GB2312" w:cs="仿宋_GB2312" w:eastAsia="仿宋_GB2312"/>
                <w:sz w:val="24"/>
                <w:color w:val="000000"/>
              </w:rPr>
              <w:t>监测点位、监测项目及监测频次</w:t>
            </w:r>
            <w:r>
              <w:rPr>
                <w:rFonts w:ascii="仿宋_GB2312" w:hAnsi="仿宋_GB2312" w:cs="仿宋_GB2312" w:eastAsia="仿宋_GB2312"/>
                <w:sz w:val="24"/>
                <w:color w:val="000000"/>
              </w:rPr>
              <w:t>见表</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b/>
                <w:color w:val="000000"/>
              </w:rPr>
              <w:t>表</w:t>
            </w:r>
            <w:r>
              <w:rPr>
                <w:rFonts w:ascii="仿宋_GB2312" w:hAnsi="仿宋_GB2312" w:cs="仿宋_GB2312" w:eastAsia="仿宋_GB2312"/>
                <w:sz w:val="24"/>
                <w:b/>
                <w:color w:val="000000"/>
              </w:rPr>
              <w:t>7</w:t>
            </w:r>
            <w:r>
              <w:rPr>
                <w:rFonts w:ascii="仿宋_GB2312" w:hAnsi="仿宋_GB2312" w:cs="仿宋_GB2312" w:eastAsia="仿宋_GB2312"/>
                <w:sz w:val="24"/>
                <w:b/>
                <w:color w:val="000000"/>
              </w:rPr>
              <w:t>土壤</w:t>
            </w:r>
            <w:r>
              <w:rPr>
                <w:rFonts w:ascii="仿宋_GB2312" w:hAnsi="仿宋_GB2312" w:cs="仿宋_GB2312" w:eastAsia="仿宋_GB2312"/>
                <w:sz w:val="24"/>
                <w:b/>
                <w:color w:val="000000"/>
              </w:rPr>
              <w:t>监测点位、监测项目及监测频次</w:t>
            </w:r>
          </w:p>
          <w:tbl>
            <w:tblPr>
              <w:tblBorders>
                <w:top w:val="none" w:color="000000" w:sz="4"/>
                <w:left w:val="none" w:color="000000" w:sz="4"/>
                <w:bottom w:val="none" w:color="000000" w:sz="4"/>
                <w:right w:val="none" w:color="000000" w:sz="4"/>
                <w:insideH w:val="none"/>
                <w:insideV w:val="none"/>
              </w:tblBorders>
            </w:tblPr>
            <w:tblGrid>
              <w:gridCol w:w="294"/>
              <w:gridCol w:w="521"/>
              <w:gridCol w:w="440"/>
              <w:gridCol w:w="568"/>
              <w:gridCol w:w="399"/>
              <w:gridCol w:w="330"/>
            </w:tblGrid>
            <w:tr>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污染源类型</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监测点位</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监测项目</w:t>
                  </w:r>
                </w:p>
              </w:tc>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监测频次</w:t>
                  </w:r>
                </w:p>
              </w:tc>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监测方式</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土壤</w:t>
                  </w:r>
                </w:p>
              </w:tc>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镇巴垃圾填埋场北侧表层土、镇巴垃圾填埋场北侧中层土、镇巴垃圾填埋场西侧表层土、镇巴垃圾填埋场西侧中层土、镇巴垃圾填埋场南侧表层土、镇巴垃圾填埋场南侧中层土、镇巴垃圾填埋场东侧表层土、镇巴垃圾填埋场东侧中层土、渗滤液处理区院内表层土、渗滤液处理区院内中层土、填埋场西北侧大坝外对照点</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总汞</w:t>
                  </w:r>
                </w:p>
              </w:tc>
              <w:tc>
                <w:tcPr>
                  <w:tcW w:type="dxa" w:w="5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年</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总镉</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总铬</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总砷</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总铅</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总镍</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总铜</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总锌</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总锰</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总铍</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总硒</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总钴</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总钒</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总锑</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二噁英类</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pH</w:t>
                  </w:r>
                  <w:r>
                    <w:rPr>
                      <w:rFonts w:ascii="仿宋_GB2312" w:hAnsi="仿宋_GB2312" w:cs="仿宋_GB2312" w:eastAsia="仿宋_GB2312"/>
                      <w:sz w:val="24"/>
                    </w:rPr>
                    <w:t>值</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总铊</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4"/>
                  <w:vMerge/>
                  <w:tcBorders>
                    <w:top w:val="none" w:color="000000" w:sz="4"/>
                    <w:left w:val="single" w:color="000000" w:sz="4"/>
                    <w:bottom w:val="single" w:color="000000" w:sz="4"/>
                    <w:right w:val="single" w:color="000000" w:sz="4"/>
                  </w:tcBorders>
                </w:tcPr>
                <w:p/>
              </w:tc>
              <w:tc>
                <w:tcPr>
                  <w:tcW w:type="dxa" w:w="521"/>
                  <w:vMerge/>
                  <w:tcBorders>
                    <w:top w:val="none" w:color="000000" w:sz="4"/>
                    <w:left w:val="single" w:color="000000" w:sz="4"/>
                    <w:bottom w:val="single" w:color="000000" w:sz="4"/>
                    <w:right w:val="single" w:color="000000" w:sz="4"/>
                  </w:tcBorders>
                </w:tcP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总钼</w:t>
                  </w:r>
                </w:p>
              </w:tc>
              <w:tc>
                <w:tcPr>
                  <w:tcW w:type="dxa" w:w="568"/>
                  <w:vMerge/>
                  <w:tcBorders>
                    <w:top w:val="none" w:color="000000" w:sz="4"/>
                    <w:left w:val="single" w:color="000000" w:sz="4"/>
                    <w:bottom w:val="single" w:color="000000" w:sz="4"/>
                    <w:right w:val="single" w:color="000000" w:sz="4"/>
                  </w:tcBorders>
                </w:tc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备注：</w:t>
                  </w:r>
                  <w:r>
                    <w:rPr>
                      <w:rFonts w:ascii="仿宋_GB2312" w:hAnsi="仿宋_GB2312" w:cs="仿宋_GB2312" w:eastAsia="仿宋_GB2312"/>
                      <w:sz w:val="24"/>
                    </w:rPr>
                    <w:t>监测点位、参数及频次依据企业土壤和地下水自行监测方案</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八</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固废</w:t>
            </w:r>
            <w:r>
              <w:rPr>
                <w:rFonts w:ascii="仿宋_GB2312" w:hAnsi="仿宋_GB2312" w:cs="仿宋_GB2312" w:eastAsia="仿宋_GB2312"/>
                <w:sz w:val="24"/>
                <w:b/>
                <w:color w:val="000000"/>
              </w:rPr>
              <w:t>监测方案</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固废</w:t>
            </w:r>
            <w:r>
              <w:rPr>
                <w:rFonts w:ascii="仿宋_GB2312" w:hAnsi="仿宋_GB2312" w:cs="仿宋_GB2312" w:eastAsia="仿宋_GB2312"/>
                <w:sz w:val="24"/>
                <w:color w:val="000000"/>
              </w:rPr>
              <w:t>监测</w:t>
            </w:r>
            <w:r>
              <w:rPr>
                <w:rFonts w:ascii="仿宋_GB2312" w:hAnsi="仿宋_GB2312" w:cs="仿宋_GB2312" w:eastAsia="仿宋_GB2312"/>
                <w:sz w:val="24"/>
                <w:color w:val="000000"/>
              </w:rPr>
              <w:t>内容</w:t>
            </w:r>
          </w:p>
          <w:p>
            <w:pPr>
              <w:pStyle w:val="null3"/>
              <w:ind w:firstLine="480"/>
              <w:jc w:val="both"/>
            </w:pPr>
            <w:r>
              <w:rPr>
                <w:rFonts w:ascii="仿宋_GB2312" w:hAnsi="仿宋_GB2312" w:cs="仿宋_GB2312" w:eastAsia="仿宋_GB2312"/>
                <w:sz w:val="24"/>
                <w:color w:val="000000"/>
              </w:rPr>
              <w:t>固废</w:t>
            </w:r>
            <w:r>
              <w:rPr>
                <w:rFonts w:ascii="仿宋_GB2312" w:hAnsi="仿宋_GB2312" w:cs="仿宋_GB2312" w:eastAsia="仿宋_GB2312"/>
                <w:sz w:val="24"/>
                <w:color w:val="000000"/>
              </w:rPr>
              <w:t>监测点位、监测项目及监测频次</w:t>
            </w:r>
            <w:r>
              <w:rPr>
                <w:rFonts w:ascii="仿宋_GB2312" w:hAnsi="仿宋_GB2312" w:cs="仿宋_GB2312" w:eastAsia="仿宋_GB2312"/>
                <w:sz w:val="24"/>
                <w:color w:val="000000"/>
              </w:rPr>
              <w:t>见表</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b/>
                <w:color w:val="000000"/>
              </w:rPr>
              <w:t>表</w:t>
            </w:r>
            <w:r>
              <w:rPr>
                <w:rFonts w:ascii="仿宋_GB2312" w:hAnsi="仿宋_GB2312" w:cs="仿宋_GB2312" w:eastAsia="仿宋_GB2312"/>
                <w:sz w:val="24"/>
                <w:b/>
                <w:color w:val="000000"/>
              </w:rPr>
              <w:t>8</w:t>
            </w:r>
            <w:r>
              <w:rPr>
                <w:rFonts w:ascii="仿宋_GB2312" w:hAnsi="仿宋_GB2312" w:cs="仿宋_GB2312" w:eastAsia="仿宋_GB2312"/>
                <w:sz w:val="21"/>
                <w:b/>
              </w:rPr>
              <w:t xml:space="preserve"> </w:t>
            </w:r>
            <w:r>
              <w:rPr>
                <w:rFonts w:ascii="仿宋_GB2312" w:hAnsi="仿宋_GB2312" w:cs="仿宋_GB2312" w:eastAsia="仿宋_GB2312"/>
                <w:sz w:val="24"/>
                <w:b/>
                <w:color w:val="000000"/>
              </w:rPr>
              <w:t>固废</w:t>
            </w:r>
            <w:r>
              <w:rPr>
                <w:rFonts w:ascii="仿宋_GB2312" w:hAnsi="仿宋_GB2312" w:cs="仿宋_GB2312" w:eastAsia="仿宋_GB2312"/>
                <w:sz w:val="24"/>
                <w:b/>
                <w:color w:val="000000"/>
              </w:rPr>
              <w:t>监测点位、监测项目及监测频次</w:t>
            </w:r>
          </w:p>
          <w:tbl>
            <w:tblPr>
              <w:tblBorders>
                <w:top w:val="none" w:color="000000" w:sz="4"/>
                <w:left w:val="none" w:color="000000" w:sz="4"/>
                <w:bottom w:val="none" w:color="000000" w:sz="4"/>
                <w:right w:val="none" w:color="000000" w:sz="4"/>
                <w:insideH w:val="none"/>
                <w:insideV w:val="none"/>
              </w:tblBorders>
            </w:tblPr>
            <w:tblGrid>
              <w:gridCol w:w="325"/>
              <w:gridCol w:w="557"/>
              <w:gridCol w:w="474"/>
              <w:gridCol w:w="398"/>
              <w:gridCol w:w="433"/>
              <w:gridCol w:w="364"/>
            </w:tblGrid>
            <w:tr>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污染源类型</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监测点位</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监测项目</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监测频次</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监测方式</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焚烧炉炉渣</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炉渣</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热灼减率</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周</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3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稳定化飞灰</w:t>
                  </w:r>
                </w:p>
              </w:tc>
              <w:tc>
                <w:tcPr>
                  <w:tcW w:type="dxa" w:w="5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飞灰</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汞、铜、锌、铅、镉、铍、钡、镍、砷、总铬、六价铬、硒</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周</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一周一次，取混合样开展监测任务。</w:t>
                  </w:r>
                </w:p>
              </w:tc>
            </w:tr>
            <w:tr>
              <w:tc>
                <w:tcPr>
                  <w:tcW w:type="dxa" w:w="325"/>
                  <w:vMerge/>
                  <w:tcBorders>
                    <w:top w:val="none" w:color="000000" w:sz="4"/>
                    <w:left w:val="single" w:color="000000" w:sz="4"/>
                    <w:bottom w:val="single" w:color="000000" w:sz="4"/>
                    <w:right w:val="single" w:color="000000" w:sz="4"/>
                  </w:tcBorders>
                </w:tcPr>
                <w:p/>
              </w:tc>
              <w:tc>
                <w:tcPr>
                  <w:tcW w:type="dxa" w:w="557"/>
                  <w:vMerge/>
                  <w:tcBorders>
                    <w:top w:val="none" w:color="000000" w:sz="4"/>
                    <w:left w:val="single" w:color="000000" w:sz="4"/>
                    <w:bottom w:val="single" w:color="000000" w:sz="4"/>
                    <w:right w:val="single" w:color="000000" w:sz="4"/>
                  </w:tcBorders>
                </w:tcP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二噁英</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半年</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手工监测</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符合国家相关规范、标准及要求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合同生效后服务满6个月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服务期满并完成全部服务内容后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甲乙双方在合同履行中发生争议，应通过协商解决。如协商不成，可以向甲方所在 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供应商须具有国家或省级行业主管部门颁发的检验检测机构资质认定证书（CMA）。</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本项目不接受联合体投标，单位负责人为同一人或者存在直接控股、管理关系的不同供应商，不得同时参加本项目投标活动。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按磋商文件格式要求加盖了供应商公章和有法定代表人（或单位负责人）或其授权代表签字或加盖人名章</w:t>
            </w:r>
          </w:p>
        </w:tc>
        <w:tc>
          <w:tcPr>
            <w:tcW w:type="dxa" w:w="1661"/>
          </w:tcPr>
          <w:p>
            <w:pPr>
              <w:pStyle w:val="null3"/>
            </w:pPr>
            <w:r>
              <w:rPr>
                <w:rFonts w:ascii="仿宋_GB2312" w:hAnsi="仿宋_GB2312" w:cs="仿宋_GB2312" w:eastAsia="仿宋_GB2312"/>
              </w:rPr>
              <w:t>技术服务方案.docx 服务内容及服务邀请应答表 中小企业声明函 商务应答表 供应商类似业绩.docx 报价表 供应商认为需要提供的其他内容.docx 响应文件封面 供应商应提交的相关资格证明材料.docx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项目总体方案</w:t>
            </w:r>
          </w:p>
        </w:tc>
        <w:tc>
          <w:tcPr>
            <w:tcW w:type="dxa" w:w="2492"/>
          </w:tcPr>
          <w:p>
            <w:pPr>
              <w:pStyle w:val="null3"/>
            </w:pPr>
            <w:r>
              <w:rPr>
                <w:rFonts w:ascii="仿宋_GB2312" w:hAnsi="仿宋_GB2312" w:cs="仿宋_GB2312" w:eastAsia="仿宋_GB2312"/>
              </w:rPr>
              <w:t>针对本项目详细的总体服务方案，根据方案的科学性、合理性、针对性综合评审。 ①方案完整、科学，可操作性强，得7.1-10分； ②方案基本完整，具备基本的可操作性，得4.1-7分； ③方案有缺陷，可操作性差，得1-4分； ④未提供相关内容不得分。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采样方案及监测报告编写方案</w:t>
            </w:r>
          </w:p>
        </w:tc>
        <w:tc>
          <w:tcPr>
            <w:tcW w:type="dxa" w:w="2492"/>
          </w:tcPr>
          <w:p>
            <w:pPr>
              <w:pStyle w:val="null3"/>
            </w:pPr>
            <w:r>
              <w:rPr>
                <w:rFonts w:ascii="仿宋_GB2312" w:hAnsi="仿宋_GB2312" w:cs="仿宋_GB2312" w:eastAsia="仿宋_GB2312"/>
              </w:rPr>
              <w:t>针对本项目实际和采购人需求，制定采样方案及监测报告方案。 ①方案全面、合理、规范，可操作性强得7.1-10分； ②方案比较合理和规范，有较强的可操作性得4.1-7分； ③方案基本合理，有一定的可操作性得1-4分； ④未提供相关内容不得分。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监测数据的管理</w:t>
            </w:r>
          </w:p>
        </w:tc>
        <w:tc>
          <w:tcPr>
            <w:tcW w:type="dxa" w:w="2492"/>
          </w:tcPr>
          <w:p>
            <w:pPr>
              <w:pStyle w:val="null3"/>
            </w:pPr>
            <w:r>
              <w:rPr>
                <w:rFonts w:ascii="仿宋_GB2312" w:hAnsi="仿宋_GB2312" w:cs="仿宋_GB2312" w:eastAsia="仿宋_GB2312"/>
              </w:rPr>
              <w:t>针对本项目实际，制定监测数据的管理措施。 ①措施全面、合理、规范，可操作性强得4.1-7分； ②措施比较合理和规范，有较强的可操作性得2.1-4分； ③措施基本合理，有一定的可操作性得1-2分； ④未提供相关内容不得分。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监测结果保障措施</w:t>
            </w:r>
          </w:p>
        </w:tc>
        <w:tc>
          <w:tcPr>
            <w:tcW w:type="dxa" w:w="2492"/>
          </w:tcPr>
          <w:p>
            <w:pPr>
              <w:pStyle w:val="null3"/>
            </w:pPr>
            <w:r>
              <w:rPr>
                <w:rFonts w:ascii="仿宋_GB2312" w:hAnsi="仿宋_GB2312" w:cs="仿宋_GB2312" w:eastAsia="仿宋_GB2312"/>
              </w:rPr>
              <w:t>结合本项目实际情况，有详细完整的监测结果保障措施。 ①保障措施详细完整、可行性、针对性强，能高质量的确保项目服务质量，得5.1-8分； ②保障措施比较完整，可行性及针对性较强以保证项目质量，得2.1-5分； ③保障措施基本完整，有一定的可行性及针对性以保证项目质量，得1-2分； ④未提供相关内容不得分。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拟投入本项目实施服务人员</w:t>
            </w:r>
          </w:p>
        </w:tc>
        <w:tc>
          <w:tcPr>
            <w:tcW w:type="dxa" w:w="2492"/>
          </w:tcPr>
          <w:p>
            <w:pPr>
              <w:pStyle w:val="null3"/>
            </w:pPr>
            <w:r>
              <w:rPr>
                <w:rFonts w:ascii="仿宋_GB2312" w:hAnsi="仿宋_GB2312" w:cs="仿宋_GB2312" w:eastAsia="仿宋_GB2312"/>
              </w:rPr>
              <w:t>①项目负责人具有环境类高级工程师及以上职称得2分；具有环境类中级工程师职称得1分，其他情况不得分，最高得2分。 注：须提供项目负责人职称证书、学历证、身份证复印件或扫描件，未提供不得分。 ②参与本项目除项目负责人以外的其他技术人员配备情况： 参与技术人员60人以上得6.1-8分；参与技术人员41~60人得4.1-6分； 参与技术人员20~40人得1-4分；参与技术人员20人以下不得分。 注：须提供技术人员身份证、学历证、上岗证、社保证明材料复印件或扫描件，未提供不得分。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拟投入本项目实施服务人员.docx</w:t>
            </w:r>
          </w:p>
        </w:tc>
      </w:tr>
      <w:tr>
        <w:tc>
          <w:tcPr>
            <w:tcW w:type="dxa" w:w="831"/>
            <w:vMerge/>
          </w:tcPr>
          <w:p/>
        </w:tc>
        <w:tc>
          <w:tcPr>
            <w:tcW w:type="dxa" w:w="1661"/>
          </w:tcPr>
          <w:p>
            <w:pPr>
              <w:pStyle w:val="null3"/>
            </w:pPr>
            <w:r>
              <w:rPr>
                <w:rFonts w:ascii="仿宋_GB2312" w:hAnsi="仿宋_GB2312" w:cs="仿宋_GB2312" w:eastAsia="仿宋_GB2312"/>
              </w:rPr>
              <w:t>拟投入本项目监测的相关设备</w:t>
            </w:r>
          </w:p>
        </w:tc>
        <w:tc>
          <w:tcPr>
            <w:tcW w:type="dxa" w:w="2492"/>
          </w:tcPr>
          <w:p>
            <w:pPr>
              <w:pStyle w:val="null3"/>
            </w:pPr>
            <w:r>
              <w:rPr>
                <w:rFonts w:ascii="仿宋_GB2312" w:hAnsi="仿宋_GB2312" w:cs="仿宋_GB2312" w:eastAsia="仿宋_GB2312"/>
              </w:rPr>
              <w:t>根据投入的具有符合监测要求的仪器设备，提供仪器设备一览表。从监测设备数量、监测能力进行评审。（相关设备包括但不限于：气质联用仪、气相色谱仪、紫外分光光度计、电感耦合等离子质谱仪（ICP-MS）、离子色谱仪等）。 ①设备数量充足、监测能力先进，能够满足大批量样品的监测周期需要得7.1-10分； ②设备数量相对充足，监测能力相对先进，相对能够满足大批量样品的监测周期需要得4.1-7分； ③设备数量基本满足要求，监测能力基本能保障项目需要得1-4分； ④未提供相关内容不得分。 注：相关仪器应提供实物图片及检定校准合格证书等证明资料的复印件。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拟投入本项目监测的相关设备.docx</w:t>
            </w:r>
          </w:p>
        </w:tc>
      </w:tr>
      <w:tr>
        <w:tc>
          <w:tcPr>
            <w:tcW w:type="dxa" w:w="831"/>
            <w:vMerge/>
          </w:tcPr>
          <w:p/>
        </w:tc>
        <w:tc>
          <w:tcPr>
            <w:tcW w:type="dxa" w:w="1661"/>
          </w:tcPr>
          <w:p>
            <w:pPr>
              <w:pStyle w:val="null3"/>
            </w:pPr>
            <w:r>
              <w:rPr>
                <w:rFonts w:ascii="仿宋_GB2312" w:hAnsi="仿宋_GB2312" w:cs="仿宋_GB2312" w:eastAsia="仿宋_GB2312"/>
              </w:rPr>
              <w:t>服务质量、安全、进度保证措施</w:t>
            </w:r>
          </w:p>
        </w:tc>
        <w:tc>
          <w:tcPr>
            <w:tcW w:type="dxa" w:w="2492"/>
          </w:tcPr>
          <w:p>
            <w:pPr>
              <w:pStyle w:val="null3"/>
            </w:pPr>
            <w:r>
              <w:rPr>
                <w:rFonts w:ascii="仿宋_GB2312" w:hAnsi="仿宋_GB2312" w:cs="仿宋_GB2312" w:eastAsia="仿宋_GB2312"/>
              </w:rPr>
              <w:t>结合本项目实际情况，有详细完整的服务质量、安全、进度保证措施。 ①措施详细完整、可行性、针对性强，得7.1-10分； ②措施比较完整，可行性及针对性较强，得4.1-7分； ③保障措施基本完整，有一定的可行性及针对性，得1-4分； ④未提供相关内容不得分。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针对本项目可能出现的异常或突发情况，提供具体、可行的应急处理方案及响应时限承诺。 ①方案全面、合理、规范，可操作性强得3.1-5分； ②方案比较合理和规范，有一定的可操作性得2.1-3分； ③方案基本合理，有可操作性得1-2分； ④无相关内容描述不得分。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供应商提供针对本项目服务工作重点、难点分析及解决方案， ①对重点、难点分析准确，解决方案针对性强的计3.1-5分； ②对重点、难点分析较准确、提出的解决方案有一定的针对性和可行性的计2.1-3分； ③对重点、难点分析基本准确，解决方案有一定的针对性和可行性得1-2分； ④未提供相关内容不得分。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具有科学、合理、可行的保密措施，保证相关信息不被泄漏。 ①保密措施完整、合理，可操作性强得3.1-5分； ②保密措施比较完整，可操作性较强得2.1-3分； ③保密措施基本完整，有一定可操作性得1-2分； ④未提供相关内容不得分。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售后服务及承诺保障措施</w:t>
            </w:r>
          </w:p>
        </w:tc>
        <w:tc>
          <w:tcPr>
            <w:tcW w:type="dxa" w:w="2492"/>
          </w:tcPr>
          <w:p>
            <w:pPr>
              <w:pStyle w:val="null3"/>
            </w:pPr>
            <w:r>
              <w:rPr>
                <w:rFonts w:ascii="仿宋_GB2312" w:hAnsi="仿宋_GB2312" w:cs="仿宋_GB2312" w:eastAsia="仿宋_GB2312"/>
              </w:rPr>
              <w:t>具有科学、合理、可行的售后服务及承诺保障措施。 ①措施完整、合理，可操作性强得3.1-5分； ②措施比较完整，可操作性较强得2.1-3分； ③措施基本完整，有一定可操作性得1-2分； ④未提供相关内容不得分。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供应商提供2023年1月1日以来（以合同签订时间为准）的类似项目业绩，每提供一个业绩得1分，最多得5分。（提供合同或中标通知书复印件）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满足磋商文件要求且最后各家最终磋商价格的最低值为评标基准价，其价格分为满分。 磋商报价得分=（评审基准价／磋商二次报价）×价格权值×100。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详见附件：拟投入本项目实施服务人员.docx</w:t>
      </w:r>
    </w:p>
    <w:p>
      <w:pPr>
        <w:pStyle w:val="null3"/>
        <w:ind w:firstLine="960"/>
      </w:pPr>
      <w:r>
        <w:rPr>
          <w:rFonts w:ascii="仿宋_GB2312" w:hAnsi="仿宋_GB2312" w:cs="仿宋_GB2312" w:eastAsia="仿宋_GB2312"/>
        </w:rPr>
        <w:t>详见附件：拟投入本项目监测的相关设备.docx</w:t>
      </w:r>
    </w:p>
    <w:p>
      <w:pPr>
        <w:pStyle w:val="null3"/>
        <w:ind w:firstLine="960"/>
      </w:pPr>
      <w:r>
        <w:rPr>
          <w:rFonts w:ascii="仿宋_GB2312" w:hAnsi="仿宋_GB2312" w:cs="仿宋_GB2312" w:eastAsia="仿宋_GB2312"/>
        </w:rPr>
        <w:t>详见附件：供应商类似业绩.docx</w:t>
      </w:r>
    </w:p>
    <w:p>
      <w:pPr>
        <w:pStyle w:val="null3"/>
        <w:ind w:firstLine="960"/>
      </w:pPr>
      <w:r>
        <w:rPr>
          <w:rFonts w:ascii="仿宋_GB2312" w:hAnsi="仿宋_GB2312" w:cs="仿宋_GB2312" w:eastAsia="仿宋_GB2312"/>
        </w:rPr>
        <w:t>详见附件：供应商认为需要提供的其他内容.docx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详见附件：合同条款及合同文件格式.docx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