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版本号：政采-镇巴县-2026-0006820260317001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镇巴县仁村镇东院社区截污纳管工程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政采-镇巴县-2026-00068</w:t>
      </w:r>
      <w:r>
        <w:br/>
      </w:r>
      <w:r>
        <w:br/>
      </w:r>
      <w:r>
        <w:br/>
      </w:r>
    </w:p>
    <w:p>
      <w:pPr>
        <w:pStyle w:val="null3"/>
        <w:jc w:val="center"/>
        <w:outlineLvl w:val="2"/>
      </w:pPr>
      <w:r>
        <w:rPr>
          <w:rFonts w:ascii="仿宋_GB2312" w:hAnsi="仿宋_GB2312" w:cs="仿宋_GB2312" w:eastAsia="仿宋_GB2312"/>
          <w:sz w:val="28"/>
          <w:b/>
        </w:rPr>
        <w:t>镇巴县仁村镇人民政府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镇巴县仁村镇人民政府</w:t>
      </w:r>
      <w:r>
        <w:rPr>
          <w:rFonts w:ascii="仿宋_GB2312" w:hAnsi="仿宋_GB2312" w:cs="仿宋_GB2312" w:eastAsia="仿宋_GB2312"/>
        </w:rPr>
        <w:t>委托，拟对</w:t>
      </w:r>
      <w:r>
        <w:rPr>
          <w:rFonts w:ascii="仿宋_GB2312" w:hAnsi="仿宋_GB2312" w:cs="仿宋_GB2312" w:eastAsia="仿宋_GB2312"/>
        </w:rPr>
        <w:t>镇巴县仁村镇东院社区截污纳管工程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政采-镇巴县-2026-00068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镇巴县仁村镇东院社区截污纳管工程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2000*2000钢筋混凝土泵站一座，新建DN300HDPE双壁波纹管2848m，壁挂DN100聚乙烯PE100级管220m，U-PVC入户支管2175m；另新建毛石混凝土挡墙200m，φ1000型压力混凝土检查井92座，φ800混凝土检查井10座，φ800混凝土沉泥井6座，φ1000混凝土沉泥井1座及路面破除恢复等。具体内容详见工程量清单及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采购包1（镇巴县仁村镇东院社区截污纳管工程）：属于专门面向中小企业采购。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2、供应商资质：供应商须具有建设行政主管部门颁发的市政公用工程施工总承包三级及以上资质，具有有效的安全生产许可证，供应商需在项目电子化交易系统中按要求上传相应证明文件并进行电子签章;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3、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4、拟派项目负责人资质与专业要求：拟派项目负责人须具有市政公用工程专业注册建造师二级及以上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7、无拖欠农民工工资证明：供应商需提供项目所在地人社部门出具的无拖欠农民工工资证明复印件，供应商需在项目电子化交易系统中按要求上传相应证明文件并进行电子签章。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镇巴县仁村镇人民政府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镇巴县仁村镇东院社区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镇巴县仁村镇人民政府经办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17349279309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采购包1：3,081,804.52元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镇巴县仁村镇人民政府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镇巴县仁村镇人民政府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镇巴县仁村镇人民政府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地址：镇巴县孙二娘火锅店旁</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3,081,804.52</w:t>
      </w:r>
    </w:p>
    <w:p>
      <w:pPr>
        <w:pStyle w:val="null3"/>
      </w:pPr>
      <w:r>
        <w:rPr>
          <w:rFonts w:ascii="仿宋_GB2312" w:hAnsi="仿宋_GB2312" w:cs="仿宋_GB2312" w:eastAsia="仿宋_GB2312"/>
        </w:rPr>
        <w:t>采购包最高限价（元）: 3,081,804.52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镇巴县仁村镇东院社区截污纳管工程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3,081,804.52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标的名称：镇巴县仁村镇东院社区截污纳管工程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技术要求详见本工程施工图纸及工程量清单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1、工期：210日历天； 2、质量：交工验收的质量评定：合格；竣工验收的质量评定：合格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 供应商认为需要提供的其他内容.pdf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供应商须具有建设行政主管部门颁发的市政公用工程施工总承包三级及以上资质，具有有效的安全生产许可证，供应商需在项目电子化交易系统中按要求上传相应证明文件并进行电子签章;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拟派项目负责人资质与专业要求</w:t>
            </w:r>
          </w:p>
        </w:tc>
        <w:tc>
          <w:tcPr>
            <w:tcW w:type="dxa" w:w="3322"/>
          </w:tcPr>
          <w:p>
            <w:pPr>
              <w:pStyle w:val="null3"/>
            </w:pPr>
            <w:r>
              <w:rPr>
                <w:rFonts w:ascii="仿宋_GB2312" w:hAnsi="仿宋_GB2312" w:cs="仿宋_GB2312" w:eastAsia="仿宋_GB2312"/>
              </w:rPr>
              <w:t>拟派项目负责人须具有市政公用工程专业注册建造师二级及以上资格和安全生产考核合格B证，且无在建项目；供应商需在项目电子化交易系统中按要求上传相应证明文件并进行电子签章;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项目管理机构组成表 供应商应提交的相关资格证明材料.pdf 供应商认为需要提供的其他内容.pdf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无拖欠农民工工资证明</w:t>
            </w:r>
          </w:p>
        </w:tc>
        <w:tc>
          <w:tcPr>
            <w:tcW w:type="dxa" w:w="3322"/>
          </w:tcPr>
          <w:p>
            <w:pPr>
              <w:pStyle w:val="null3"/>
            </w:pPr>
            <w:r>
              <w:rPr>
                <w:rFonts w:ascii="仿宋_GB2312" w:hAnsi="仿宋_GB2312" w:cs="仿宋_GB2312" w:eastAsia="仿宋_GB2312"/>
              </w:rPr>
              <w:t>供应商需提供项目所在地人社部门出具的无拖欠农民工工资证明复印件，供应商需在项目电子化交易系统中按要求上传相应证明文件并进行电子签章。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供应商针对本项目编制完善的施工部署，内容包含：①施工目标:成本目标、工期目标、质量目标②施工平面布置与安排：现场围挡及出入口管理、交通组织安排、消防安排、施工平面布置图。 二、评审标准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①施工目标：每完全满足一个评审标准得1.5分，满分4.5分； ②施工平面布置与安排：每完全满足一个评审标准得1.5分，满分4.5分；未提供或明显套用其他项目内容的不得分。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 二、评审标准 1、完整性：方案须全面，对评审内容中的各项要求有详细描述及说明； 2、可实施性：切合本项目实际情况，实施步骤清晰、合理； 3、针对性：方案能够紧扣项目实际情况，内容科学合理。 三、赋分标准 ①分部分项工程施工方法：每完全满足一个评审标准得2分，满分6分； ②成品保护措施：每完全满足一个评审标准得2分，满分6分；未提供或明显套用其他项目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有详细的人员职责划分、人员管理方案。由评标专家对供应商响应内容进行对比，根据优良程度打分：（优秀得3分，良好得2分，一般得1分） 项目负责人具有相关专业高级工程师职称得2分，中级职称得1分，没有职称不得分。 注：班子人员需提供相关证书、身份证及本单位社保缴费证明（近六个月内任意3个月），未提供不得分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供应商提供自2023年1月至今类似项目业绩，响应文件中应附有其业绩证明材料，业绩以协议书（合同）或（中标）成交通知书加盖公章的复印件为依据，每提供一个得2.5分，满分5分。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价格分=(评标基准价／投标报价)×报价分值（四舍五入后保留小数点后两位）。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