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版本号：ZYTT2026-HZ00820260302001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镇巴县公安局交警大队交通违法电子抓拍设备采购项目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ZYTT2026-HZ008</w:t>
      </w:r>
      <w:r>
        <w:br/>
      </w:r>
      <w:r>
        <w:br/>
      </w:r>
      <w:r>
        <w:br/>
      </w:r>
    </w:p>
    <w:p>
      <w:pPr>
        <w:pStyle w:val="null3"/>
        <w:jc w:val="center"/>
        <w:outlineLvl w:val="2"/>
      </w:pPr>
      <w:r>
        <w:rPr>
          <w:rFonts w:ascii="仿宋_GB2312" w:hAnsi="仿宋_GB2312" w:cs="仿宋_GB2312" w:eastAsia="仿宋_GB2312"/>
          <w:sz w:val="28"/>
          <w:b/>
        </w:rPr>
        <w:t>镇巴县公安局交通警察大队</w:t>
      </w:r>
    </w:p>
    <w:p>
      <w:pPr>
        <w:pStyle w:val="null3"/>
        <w:jc w:val="center"/>
        <w:outlineLvl w:val="2"/>
      </w:pPr>
      <w:r>
        <w:rPr>
          <w:rFonts w:ascii="仿宋_GB2312" w:hAnsi="仿宋_GB2312" w:cs="仿宋_GB2312" w:eastAsia="仿宋_GB2312"/>
          <w:sz w:val="28"/>
          <w:b/>
        </w:rPr>
        <w:t>陕西正圆通泰项目管理有限公司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陕西正圆通泰项目管理有限公司</w:t>
      </w:r>
      <w:r>
        <w:rPr>
          <w:rFonts w:ascii="仿宋_GB2312" w:hAnsi="仿宋_GB2312" w:cs="仿宋_GB2312" w:eastAsia="仿宋_GB2312"/>
        </w:rPr>
        <w:t>（以下简称“代理机构”）受</w:t>
      </w:r>
      <w:r>
        <w:rPr>
          <w:rFonts w:ascii="仿宋_GB2312" w:hAnsi="仿宋_GB2312" w:cs="仿宋_GB2312" w:eastAsia="仿宋_GB2312"/>
        </w:rPr>
        <w:t>镇巴县公安局交通警察大队</w:t>
      </w:r>
      <w:r>
        <w:rPr>
          <w:rFonts w:ascii="仿宋_GB2312" w:hAnsi="仿宋_GB2312" w:cs="仿宋_GB2312" w:eastAsia="仿宋_GB2312"/>
        </w:rPr>
        <w:t>委托，拟对</w:t>
      </w:r>
      <w:r>
        <w:rPr>
          <w:rFonts w:ascii="仿宋_GB2312" w:hAnsi="仿宋_GB2312" w:cs="仿宋_GB2312" w:eastAsia="仿宋_GB2312"/>
        </w:rPr>
        <w:t>镇巴县公安局交警大队交通违法电子抓拍设备采购项目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ZYTT2026-HZ008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镇巴县公安局交警大队交通违法电子抓拍设备采购项目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镇巴县公安局交警大队交通违法电子抓拍设备采购项目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1、营业执照：供应商具有独立承担民事责任能力的法人、其他组织或自然人，提供合法有效的统一社会信用代码营业执照或事业单位法人证书（自然人应提供身份证明）</w:t>
      </w:r>
    </w:p>
    <w:p>
      <w:pPr>
        <w:pStyle w:val="null3"/>
      </w:pPr>
      <w:r>
        <w:rPr>
          <w:rFonts w:ascii="仿宋_GB2312" w:hAnsi="仿宋_GB2312" w:cs="仿宋_GB2312" w:eastAsia="仿宋_GB2312"/>
        </w:rPr>
        <w:t>2、法定代表人授权委托书：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3、汉中市政府采购供应商资格承诺函：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)；（供应商应按照汉中市财政局《关于全面推行政府采购供应商基本资格条件承诺制的通知》（汉采办采管〔2024〕20号）文件要求，需提供加盖公章的《汉中市政府采购供应商资格承诺函》）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镇巴县公安局交通警察大队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镇巴县泾洋镇东岳大桥桥头</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镇巴县公安局交通警察大队经办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0916-6716478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陕西正圆通泰项目管理有限公司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汉中市汉台区滨江东路晨晖帝景府A1号楼2402室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0916-8890636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照成交价，采购代理机构按照国家计委关于印发《招标代理服务收费管理暂行办法》的通知（计价格〔2002〕1980号）和《国家发展和改革委员会办公厅关于招标代理服务收费有关问题的通知》（发改办价格〔2003〕857号）文件的规定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镇巴县公安局交通警察大队</w:t>
      </w:r>
      <w:r>
        <w:rPr>
          <w:rFonts w:ascii="仿宋_GB2312" w:hAnsi="仿宋_GB2312" w:cs="仿宋_GB2312" w:eastAsia="仿宋_GB2312"/>
        </w:rPr>
        <w:t>和</w:t>
      </w:r>
      <w:r>
        <w:rPr>
          <w:rFonts w:ascii="仿宋_GB2312" w:hAnsi="仿宋_GB2312" w:cs="仿宋_GB2312" w:eastAsia="仿宋_GB2312"/>
        </w:rPr>
        <w:t>陕西正圆通泰项目管理有限公司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镇巴县公安局交通警察大队</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陕西正圆通泰项目管理有限公司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镇巴县公安局交通警察大队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陕西正圆通泰项目管理有限公司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陕西正圆通泰项目管理有限公司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陕西正圆通泰项目管理有限公司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陕西正圆通泰项目管理有限公司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联系人：赵工</w:t>
      </w:r>
    </w:p>
    <w:p>
      <w:pPr>
        <w:pStyle w:val="null3"/>
      </w:pPr>
      <w:r>
        <w:rPr>
          <w:rFonts w:ascii="仿宋_GB2312" w:hAnsi="仿宋_GB2312" w:cs="仿宋_GB2312" w:eastAsia="仿宋_GB2312"/>
        </w:rPr>
        <w:t>联系电话：0916-8890636</w:t>
      </w:r>
    </w:p>
    <w:p>
      <w:pPr>
        <w:pStyle w:val="null3"/>
      </w:pPr>
      <w:r>
        <w:rPr>
          <w:rFonts w:ascii="仿宋_GB2312" w:hAnsi="仿宋_GB2312" w:cs="仿宋_GB2312" w:eastAsia="仿宋_GB2312"/>
        </w:rPr>
        <w:t>地址：汉中市汉台区滨江东路晨晖帝景府A1号楼2402室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镇巴县公安局交警大队交通违法电子抓拍设备采购项目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其他信息化设备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标的名称：其他信息化设备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3570"/>
              <w:jc w:val="both"/>
            </w:pPr>
            <w:r>
              <w:rPr>
                <w:rFonts w:ascii="仿宋_GB2312" w:hAnsi="仿宋_GB2312" w:cs="仿宋_GB2312" w:eastAsia="仿宋_GB2312"/>
                <w:sz w:val="30"/>
                <w:b/>
              </w:rPr>
              <w:t>设备清单</w:t>
            </w:r>
          </w:p>
          <w:tbl>
            <w:tblPr>
              <w:tblInd w:type="dxa" w:w="120"/>
              <w:tblBorders>
                <w:top w:val="none" w:color="000000" w:sz="4"/>
                <w:left w:val="none" w:color="000000" w:sz="4"/>
                <w:bottom w:val="none" w:color="000000" w:sz="4"/>
                <w:right w:val="none" w:color="000000" w:sz="4"/>
                <w:insideH w:val="none"/>
                <w:insideV w:val="none"/>
              </w:tblBorders>
            </w:tblPr>
            <w:tblGrid>
              <w:gridCol w:w="328"/>
              <w:gridCol w:w="1891"/>
              <w:gridCol w:w="328"/>
            </w:tblGrid>
            <w:tr>
              <w:tc>
                <w:tcPr>
                  <w:tcW w:type="dxa" w:w="328"/>
                  <w:vMerge w:val="restart"/>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名称</w:t>
                  </w:r>
                </w:p>
              </w:tc>
              <w:tc>
                <w:tcPr>
                  <w:tcW w:type="dxa" w:w="1891"/>
                  <w:vMerge w:val="restart"/>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技术参数</w:t>
                  </w:r>
                </w:p>
              </w:tc>
              <w:tc>
                <w:tcPr>
                  <w:tcW w:type="dxa" w:w="328"/>
                  <w:vMerge w:val="restart"/>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r>
            <w:tr>
              <w:tc>
                <w:tcPr>
                  <w:tcW w:type="dxa" w:w="328"/>
                  <w:vMerge/>
                  <w:tcBorders>
                    <w:top w:val="single" w:color="000000" w:sz="4"/>
                    <w:left w:val="single" w:color="000000" w:sz="4"/>
                    <w:bottom w:val="single" w:color="000000" w:sz="4"/>
                    <w:right w:val="single" w:color="000000" w:sz="4"/>
                  </w:tcBorders>
                </w:tcPr>
                <w:p/>
              </w:tc>
              <w:tc>
                <w:tcPr>
                  <w:tcW w:type="dxa" w:w="1891"/>
                  <w:vMerge/>
                  <w:tcBorders>
                    <w:top w:val="single" w:color="000000" w:sz="4"/>
                    <w:left w:val="single" w:color="000000" w:sz="4"/>
                    <w:bottom w:val="single" w:color="000000" w:sz="4"/>
                    <w:right w:val="single" w:color="000000" w:sz="4"/>
                  </w:tcBorders>
                </w:tcPr>
                <w:p/>
              </w:tc>
              <w:tc>
                <w:tcPr>
                  <w:tcW w:type="dxa" w:w="328"/>
                  <w:vMerge/>
                  <w:tcBorders>
                    <w:top w:val="single" w:color="000000" w:sz="4"/>
                    <w:left w:val="single" w:color="000000" w:sz="4"/>
                    <w:bottom w:val="single" w:color="000000" w:sz="4"/>
                    <w:right w:val="single" w:color="000000" w:sz="4"/>
                  </w:tcBorders>
                </w:tcP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900万卡口摄像机</w:t>
                  </w:r>
                </w:p>
              </w:tc>
              <w:tc>
                <w:tcPr>
                  <w:tcW w:type="dxa" w:w="1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shd w:fill="FFFFFF" w:val="clear"/>
                    </w:rPr>
                    <w:t>1、</w:t>
                  </w:r>
                  <w:r>
                    <w:rPr>
                      <w:rFonts w:ascii="仿宋_GB2312" w:hAnsi="仿宋_GB2312" w:cs="仿宋_GB2312" w:eastAsia="仿宋_GB2312"/>
                      <w:sz w:val="15"/>
                      <w:shd w:fill="FFFFFF" w:val="clear"/>
                    </w:rPr>
                    <w:t>≥</w:t>
                  </w:r>
                  <w:r>
                    <w:rPr>
                      <w:rFonts w:ascii="仿宋_GB2312" w:hAnsi="仿宋_GB2312" w:cs="仿宋_GB2312" w:eastAsia="仿宋_GB2312"/>
                      <w:sz w:val="15"/>
                      <w:shd w:fill="FFFFFF" w:val="clear"/>
                    </w:rPr>
                    <w:t>2个1英寸CMOS传感器，分辨率</w:t>
                  </w:r>
                  <w:r>
                    <w:rPr>
                      <w:rFonts w:ascii="仿宋_GB2312" w:hAnsi="仿宋_GB2312" w:cs="仿宋_GB2312" w:eastAsia="仿宋_GB2312"/>
                      <w:sz w:val="15"/>
                      <w:shd w:fill="FFFFFF" w:val="clear"/>
                    </w:rPr>
                    <w:t>≥</w:t>
                  </w:r>
                  <w:r>
                    <w:rPr>
                      <w:rFonts w:ascii="仿宋_GB2312" w:hAnsi="仿宋_GB2312" w:cs="仿宋_GB2312" w:eastAsia="仿宋_GB2312"/>
                      <w:sz w:val="15"/>
                      <w:shd w:fill="FFFFFF" w:val="clear"/>
                    </w:rPr>
                    <w:t xml:space="preserve">4096 </w:t>
                  </w:r>
                  <w:r>
                    <w:rPr>
                      <w:rFonts w:ascii="仿宋_GB2312" w:hAnsi="仿宋_GB2312" w:cs="仿宋_GB2312" w:eastAsia="仿宋_GB2312"/>
                      <w:sz w:val="15"/>
                      <w:shd w:fill="FFFFFF" w:val="clear"/>
                    </w:rPr>
                    <w:t xml:space="preserve">× </w:t>
                  </w:r>
                  <w:r>
                    <w:rPr>
                      <w:rFonts w:ascii="仿宋_GB2312" w:hAnsi="仿宋_GB2312" w:cs="仿宋_GB2312" w:eastAsia="仿宋_GB2312"/>
                      <w:sz w:val="15"/>
                      <w:shd w:fill="FFFFFF" w:val="clear"/>
                    </w:rPr>
                    <w:t>2160，帧率</w:t>
                  </w:r>
                  <w:r>
                    <w:rPr>
                      <w:rFonts w:ascii="仿宋_GB2312" w:hAnsi="仿宋_GB2312" w:cs="仿宋_GB2312" w:eastAsia="仿宋_GB2312"/>
                      <w:sz w:val="15"/>
                      <w:shd w:fill="FFFFFF" w:val="clear"/>
                    </w:rPr>
                    <w:t>≥</w:t>
                  </w:r>
                  <w:r>
                    <w:rPr>
                      <w:rFonts w:ascii="仿宋_GB2312" w:hAnsi="仿宋_GB2312" w:cs="仿宋_GB2312" w:eastAsia="仿宋_GB2312"/>
                      <w:sz w:val="15"/>
                      <w:shd w:fill="FFFFFF" w:val="clear"/>
                    </w:rPr>
                    <w:t>25帧</w:t>
                  </w:r>
                  <w:r>
                    <w:rPr>
                      <w:rFonts w:ascii="仿宋_GB2312" w:hAnsi="仿宋_GB2312" w:cs="仿宋_GB2312" w:eastAsia="仿宋_GB2312"/>
                      <w:sz w:val="15"/>
                      <w:shd w:fill="FFFFFF" w:val="clear"/>
                    </w:rPr>
                    <w:t>，</w:t>
                  </w:r>
                  <w:r>
                    <w:rPr>
                      <w:rFonts w:ascii="仿宋_GB2312" w:hAnsi="仿宋_GB2312" w:cs="仿宋_GB2312" w:eastAsia="仿宋_GB2312"/>
                      <w:sz w:val="15"/>
                      <w:shd w:fill="FFFFFF" w:val="clear"/>
                    </w:rPr>
                    <w:t>视频采用</w:t>
                  </w:r>
                  <w:r>
                    <w:rPr>
                      <w:rFonts w:ascii="仿宋_GB2312" w:hAnsi="仿宋_GB2312" w:cs="仿宋_GB2312" w:eastAsia="仿宋_GB2312"/>
                      <w:sz w:val="15"/>
                      <w:shd w:fill="FFFFFF" w:val="clear"/>
                    </w:rPr>
                    <w:t>H.265、H.264或MJPEG编码</w:t>
                  </w:r>
                  <w:r>
                    <w:rPr>
                      <w:rFonts w:ascii="仿宋_GB2312" w:hAnsi="仿宋_GB2312" w:cs="仿宋_GB2312" w:eastAsia="仿宋_GB2312"/>
                      <w:sz w:val="15"/>
                      <w:shd w:fill="FFFFFF" w:val="clear"/>
                    </w:rPr>
                    <w:t>，</w:t>
                  </w:r>
                  <w:r>
                    <w:rPr>
                      <w:rFonts w:ascii="仿宋_GB2312" w:hAnsi="仿宋_GB2312" w:cs="仿宋_GB2312" w:eastAsia="仿宋_GB2312"/>
                      <w:sz w:val="15"/>
                    </w:rPr>
                    <w:t>支持远程数据上传，</w:t>
                  </w:r>
                  <w:r>
                    <w:rPr>
                      <w:rFonts w:ascii="仿宋_GB2312" w:hAnsi="仿宋_GB2312" w:cs="仿宋_GB2312" w:eastAsia="仿宋_GB2312"/>
                      <w:sz w:val="15"/>
                    </w:rPr>
                    <w:t>GB/T 28181视频联网标准、GA/T 1400视图库标准、FTP协议，</w:t>
                  </w:r>
                  <w:r>
                    <w:rPr>
                      <w:rFonts w:ascii="仿宋_GB2312" w:hAnsi="仿宋_GB2312" w:cs="仿宋_GB2312" w:eastAsia="仿宋_GB2312"/>
                      <w:sz w:val="15"/>
                    </w:rPr>
                    <w:t>可支持</w:t>
                  </w:r>
                  <w:r>
                    <w:rPr>
                      <w:rFonts w:ascii="仿宋_GB2312" w:hAnsi="仿宋_GB2312" w:cs="仿宋_GB2312" w:eastAsia="仿宋_GB2312"/>
                      <w:sz w:val="15"/>
                    </w:rPr>
                    <w:t>TF插卡本地存储，可支持至</w:t>
                  </w:r>
                  <w:r>
                    <w:rPr>
                      <w:rFonts w:ascii="仿宋_GB2312" w:hAnsi="仿宋_GB2312" w:cs="仿宋_GB2312" w:eastAsia="仿宋_GB2312"/>
                      <w:sz w:val="15"/>
                    </w:rPr>
                    <w:t>≥</w:t>
                  </w:r>
                  <w:r>
                    <w:rPr>
                      <w:rFonts w:ascii="仿宋_GB2312" w:hAnsi="仿宋_GB2312" w:cs="仿宋_GB2312" w:eastAsia="仿宋_GB2312"/>
                      <w:sz w:val="15"/>
                    </w:rPr>
                    <w:t>256G，抓拍图片可断网续传</w:t>
                  </w:r>
                </w:p>
                <w:p>
                  <w:pPr>
                    <w:pStyle w:val="null3"/>
                    <w:jc w:val="left"/>
                  </w:pPr>
                  <w:r>
                    <w:rPr>
                      <w:rFonts w:ascii="仿宋_GB2312" w:hAnsi="仿宋_GB2312" w:cs="仿宋_GB2312" w:eastAsia="仿宋_GB2312"/>
                      <w:sz w:val="15"/>
                      <w:shd w:fill="FFFFFF" w:val="clear"/>
                    </w:rPr>
                    <w:t>2、</w:t>
                  </w:r>
                  <w:r>
                    <w:rPr>
                      <w:rFonts w:ascii="仿宋_GB2312" w:hAnsi="仿宋_GB2312" w:cs="仿宋_GB2312" w:eastAsia="仿宋_GB2312"/>
                      <w:sz w:val="15"/>
                      <w:shd w:fill="FFFFFF" w:val="clear"/>
                    </w:rPr>
                    <w:t>整体组成</w:t>
                  </w:r>
                  <w:r>
                    <w:rPr>
                      <w:rFonts w:ascii="仿宋_GB2312" w:hAnsi="仿宋_GB2312" w:cs="仿宋_GB2312" w:eastAsia="仿宋_GB2312"/>
                      <w:sz w:val="16"/>
                    </w:rPr>
                    <w:t>：由摄像机、高清镜头、室外防护罩、风扇、补光灯、电源适配器、安装万向节组成，采用</w:t>
                  </w:r>
                  <w:r>
                    <w:rPr>
                      <w:rFonts w:ascii="仿宋_GB2312" w:hAnsi="仿宋_GB2312" w:cs="仿宋_GB2312" w:eastAsia="仿宋_GB2312"/>
                      <w:sz w:val="16"/>
                    </w:rPr>
                    <w:t>AC220V供电</w:t>
                  </w:r>
                  <w:r>
                    <w:br/>
                  </w:r>
                  <w:r>
                    <w:rPr>
                      <w:rFonts w:ascii="仿宋_GB2312" w:hAnsi="仿宋_GB2312" w:cs="仿宋_GB2312" w:eastAsia="仿宋_GB2312"/>
                      <w:sz w:val="16"/>
                    </w:rPr>
                    <w:t>3、</w:t>
                  </w:r>
                  <w:r>
                    <w:rPr>
                      <w:rFonts w:ascii="仿宋_GB2312" w:hAnsi="仿宋_GB2312" w:cs="仿宋_GB2312" w:eastAsia="仿宋_GB2312"/>
                      <w:sz w:val="16"/>
                    </w:rPr>
                    <w:t>双路</w:t>
                  </w:r>
                  <w:r>
                    <w:rPr>
                      <w:rFonts w:ascii="仿宋_GB2312" w:hAnsi="仿宋_GB2312" w:cs="仿宋_GB2312" w:eastAsia="仿宋_GB2312"/>
                      <w:sz w:val="16"/>
                    </w:rPr>
                    <w:t>sensor图像融合功能室内测试：企业技术要求：</w:t>
                  </w:r>
                  <w:r>
                    <w:br/>
                  </w:r>
                  <w:r>
                    <w:rPr>
                      <w:rFonts w:ascii="仿宋_GB2312" w:hAnsi="仿宋_GB2312" w:cs="仿宋_GB2312" w:eastAsia="仿宋_GB2312"/>
                      <w:sz w:val="16"/>
                    </w:rPr>
                    <w:t>4、</w:t>
                  </w:r>
                  <w:r>
                    <w:rPr>
                      <w:rFonts w:ascii="仿宋_GB2312" w:hAnsi="仿宋_GB2312" w:cs="仿宋_GB2312" w:eastAsia="仿宋_GB2312"/>
                      <w:sz w:val="16"/>
                    </w:rPr>
                    <w:t>设备的镜头和两个</w:t>
                  </w:r>
                  <w:r>
                    <w:rPr>
                      <w:rFonts w:ascii="仿宋_GB2312" w:hAnsi="仿宋_GB2312" w:cs="仿宋_GB2312" w:eastAsia="仿宋_GB2312"/>
                      <w:sz w:val="16"/>
                    </w:rPr>
                    <w:t>sensor一体化设计，具有独立三角分光棱镜分光结构装置，分别接收可见光和红外光。</w:t>
                  </w:r>
                  <w:r>
                    <w:br/>
                  </w:r>
                  <w:r>
                    <w:rPr>
                      <w:rFonts w:ascii="仿宋_GB2312" w:hAnsi="仿宋_GB2312" w:cs="仿宋_GB2312" w:eastAsia="仿宋_GB2312"/>
                      <w:sz w:val="16"/>
                    </w:rPr>
                    <w:t>5、</w:t>
                  </w:r>
                  <w:r>
                    <w:rPr>
                      <w:rFonts w:ascii="仿宋_GB2312" w:hAnsi="仿宋_GB2312" w:cs="仿宋_GB2312" w:eastAsia="仿宋_GB2312"/>
                      <w:sz w:val="16"/>
                    </w:rPr>
                    <w:t>抓拍支持输出三张同时刻同目标图片，包括可见光路图片（全彩），红外路图片（黑白）和融合图片（全彩）。三张图片抓拍时间为同一时刻，抓拍秒表显示为同一时刻，抓拍运动目标，三张图片中目标位置相同无位移。</w:t>
                  </w:r>
                  <w:r>
                    <w:br/>
                  </w:r>
                  <w:r>
                    <w:rPr>
                      <w:rFonts w:ascii="仿宋_GB2312" w:hAnsi="仿宋_GB2312" w:cs="仿宋_GB2312" w:eastAsia="仿宋_GB2312"/>
                      <w:sz w:val="16"/>
                    </w:rPr>
                    <w:t>6、</w:t>
                  </w:r>
                  <w:r>
                    <w:rPr>
                      <w:rFonts w:ascii="仿宋_GB2312" w:hAnsi="仿宋_GB2312" w:cs="仿宋_GB2312" w:eastAsia="仿宋_GB2312"/>
                      <w:sz w:val="16"/>
                    </w:rPr>
                    <w:t>查看图片中的分辨率为</w:t>
                  </w:r>
                  <w:r>
                    <w:rPr>
                      <w:rFonts w:ascii="仿宋_GB2312" w:hAnsi="仿宋_GB2312" w:cs="仿宋_GB2312" w:eastAsia="仿宋_GB2312"/>
                      <w:sz w:val="16"/>
                    </w:rPr>
                    <w:t>≥</w:t>
                  </w:r>
                  <w:r>
                    <w:rPr>
                      <w:rFonts w:ascii="仿宋_GB2312" w:hAnsi="仿宋_GB2312" w:cs="仿宋_GB2312" w:eastAsia="仿宋_GB2312"/>
                      <w:sz w:val="16"/>
                    </w:rPr>
                    <w:t>4096 *2160，水平扫描线</w:t>
                  </w:r>
                  <w:r>
                    <w:rPr>
                      <w:rFonts w:ascii="仿宋_GB2312" w:hAnsi="仿宋_GB2312" w:cs="仿宋_GB2312" w:eastAsia="仿宋_GB2312"/>
                      <w:sz w:val="16"/>
                    </w:rPr>
                    <w:t>≥</w:t>
                  </w:r>
                  <w:r>
                    <w:rPr>
                      <w:rFonts w:ascii="仿宋_GB2312" w:hAnsi="仿宋_GB2312" w:cs="仿宋_GB2312" w:eastAsia="仿宋_GB2312"/>
                      <w:sz w:val="16"/>
                    </w:rPr>
                    <w:t>2000TVL；同时预览两路sensor视频，对其中一路sensor进行外部遮挡，该路sensor的预览发生对应的遮挡变化，另外一路正常。</w:t>
                  </w:r>
                  <w:r>
                    <w:br/>
                  </w:r>
                  <w:r>
                    <w:rPr>
                      <w:rFonts w:ascii="仿宋_GB2312" w:hAnsi="仿宋_GB2312" w:cs="仿宋_GB2312" w:eastAsia="仿宋_GB2312"/>
                      <w:sz w:val="16"/>
                    </w:rPr>
                    <w:t>7、</w:t>
                  </w:r>
                  <w:r>
                    <w:rPr>
                      <w:rFonts w:ascii="仿宋_GB2312" w:hAnsi="仿宋_GB2312" w:cs="仿宋_GB2312" w:eastAsia="仿宋_GB2312"/>
                      <w:sz w:val="16"/>
                    </w:rPr>
                    <w:t>黑暗环境下，打开红外爆闪灯进行抓拍，红外路图片爆闪补光光斑明显，可见光路无变化，融合图片具有爆闪补光效果；关闭红外爆闪灯进行抓拍，红外路图片无补光光斑，融合图无爆闪补光效果。</w:t>
                  </w:r>
                  <w:r>
                    <w:br/>
                  </w:r>
                  <w:r>
                    <w:rPr>
                      <w:rFonts w:ascii="仿宋_GB2312" w:hAnsi="仿宋_GB2312" w:cs="仿宋_GB2312" w:eastAsia="仿宋_GB2312"/>
                      <w:sz w:val="16"/>
                    </w:rPr>
                    <w:t>8、</w:t>
                  </w:r>
                  <w:r>
                    <w:rPr>
                      <w:rFonts w:ascii="仿宋_GB2312" w:hAnsi="仿宋_GB2312" w:cs="仿宋_GB2312" w:eastAsia="仿宋_GB2312"/>
                      <w:sz w:val="16"/>
                    </w:rPr>
                    <w:t>视频分辨率设置检查：支持视频分辨率设置为：</w:t>
                  </w:r>
                  <w:r>
                    <w:rPr>
                      <w:rFonts w:ascii="仿宋_GB2312" w:hAnsi="仿宋_GB2312" w:cs="仿宋_GB2312" w:eastAsia="仿宋_GB2312"/>
                      <w:sz w:val="16"/>
                    </w:rPr>
                    <w:t>50fps：</w:t>
                  </w:r>
                  <w:r>
                    <w:rPr>
                      <w:rFonts w:ascii="仿宋_GB2312" w:hAnsi="仿宋_GB2312" w:cs="仿宋_GB2312" w:eastAsia="仿宋_GB2312"/>
                      <w:sz w:val="16"/>
                    </w:rPr>
                    <w:t>≥</w:t>
                  </w:r>
                  <w:r>
                    <w:rPr>
                      <w:rFonts w:ascii="仿宋_GB2312" w:hAnsi="仿宋_GB2312" w:cs="仿宋_GB2312" w:eastAsia="仿宋_GB2312"/>
                      <w:sz w:val="16"/>
                    </w:rPr>
                    <w:t>4096×2160、</w:t>
                  </w:r>
                  <w:r>
                    <w:rPr>
                      <w:rFonts w:ascii="仿宋_GB2312" w:hAnsi="仿宋_GB2312" w:cs="仿宋_GB2312" w:eastAsia="仿宋_GB2312"/>
                      <w:sz w:val="16"/>
                    </w:rPr>
                    <w:t>≥</w:t>
                  </w:r>
                  <w:r>
                    <w:rPr>
                      <w:rFonts w:ascii="仿宋_GB2312" w:hAnsi="仿宋_GB2312" w:cs="仿宋_GB2312" w:eastAsia="仿宋_GB2312"/>
                      <w:sz w:val="16"/>
                    </w:rPr>
                    <w:t>3840×2336、</w:t>
                  </w:r>
                  <w:r>
                    <w:rPr>
                      <w:rFonts w:ascii="仿宋_GB2312" w:hAnsi="仿宋_GB2312" w:cs="仿宋_GB2312" w:eastAsia="仿宋_GB2312"/>
                      <w:sz w:val="16"/>
                    </w:rPr>
                    <w:t>≥</w:t>
                  </w:r>
                  <w:r>
                    <w:rPr>
                      <w:rFonts w:ascii="仿宋_GB2312" w:hAnsi="仿宋_GB2312" w:cs="仿宋_GB2312" w:eastAsia="仿宋_GB2312"/>
                      <w:sz w:val="16"/>
                    </w:rPr>
                    <w:t>1920×1080、</w:t>
                  </w:r>
                  <w:r>
                    <w:rPr>
                      <w:rFonts w:ascii="仿宋_GB2312" w:hAnsi="仿宋_GB2312" w:cs="仿宋_GB2312" w:eastAsia="仿宋_GB2312"/>
                      <w:sz w:val="16"/>
                    </w:rPr>
                    <w:t>≥</w:t>
                  </w:r>
                  <w:r>
                    <w:rPr>
                      <w:rFonts w:ascii="仿宋_GB2312" w:hAnsi="仿宋_GB2312" w:cs="仿宋_GB2312" w:eastAsia="仿宋_GB2312"/>
                      <w:sz w:val="16"/>
                    </w:rPr>
                    <w:t>1600×1200、</w:t>
                  </w:r>
                  <w:r>
                    <w:rPr>
                      <w:rFonts w:ascii="仿宋_GB2312" w:hAnsi="仿宋_GB2312" w:cs="仿宋_GB2312" w:eastAsia="仿宋_GB2312"/>
                      <w:sz w:val="16"/>
                    </w:rPr>
                    <w:t>≥</w:t>
                  </w:r>
                  <w:r>
                    <w:rPr>
                      <w:rFonts w:ascii="仿宋_GB2312" w:hAnsi="仿宋_GB2312" w:cs="仿宋_GB2312" w:eastAsia="仿宋_GB2312"/>
                      <w:sz w:val="16"/>
                    </w:rPr>
                    <w:t>1280×720；25fps：</w:t>
                  </w:r>
                  <w:r>
                    <w:rPr>
                      <w:rFonts w:ascii="仿宋_GB2312" w:hAnsi="仿宋_GB2312" w:cs="仿宋_GB2312" w:eastAsia="仿宋_GB2312"/>
                      <w:sz w:val="16"/>
                    </w:rPr>
                    <w:t>≥</w:t>
                  </w:r>
                  <w:r>
                    <w:rPr>
                      <w:rFonts w:ascii="仿宋_GB2312" w:hAnsi="仿宋_GB2312" w:cs="仿宋_GB2312" w:eastAsia="仿宋_GB2312"/>
                      <w:sz w:val="16"/>
                    </w:rPr>
                    <w:t>4096×2160、</w:t>
                  </w:r>
                  <w:r>
                    <w:rPr>
                      <w:rFonts w:ascii="仿宋_GB2312" w:hAnsi="仿宋_GB2312" w:cs="仿宋_GB2312" w:eastAsia="仿宋_GB2312"/>
                      <w:sz w:val="16"/>
                    </w:rPr>
                    <w:t>≥</w:t>
                  </w:r>
                  <w:r>
                    <w:rPr>
                      <w:rFonts w:ascii="仿宋_GB2312" w:hAnsi="仿宋_GB2312" w:cs="仿宋_GB2312" w:eastAsia="仿宋_GB2312"/>
                      <w:sz w:val="16"/>
                    </w:rPr>
                    <w:t>3840×2336、</w:t>
                  </w:r>
                  <w:r>
                    <w:rPr>
                      <w:rFonts w:ascii="仿宋_GB2312" w:hAnsi="仿宋_GB2312" w:cs="仿宋_GB2312" w:eastAsia="仿宋_GB2312"/>
                      <w:sz w:val="16"/>
                    </w:rPr>
                    <w:t>≥</w:t>
                  </w:r>
                  <w:r>
                    <w:rPr>
                      <w:rFonts w:ascii="仿宋_GB2312" w:hAnsi="仿宋_GB2312" w:cs="仿宋_GB2312" w:eastAsia="仿宋_GB2312"/>
                      <w:sz w:val="16"/>
                    </w:rPr>
                    <w:t>1920×1080、</w:t>
                  </w:r>
                  <w:r>
                    <w:rPr>
                      <w:rFonts w:ascii="仿宋_GB2312" w:hAnsi="仿宋_GB2312" w:cs="仿宋_GB2312" w:eastAsia="仿宋_GB2312"/>
                      <w:sz w:val="16"/>
                    </w:rPr>
                    <w:t>≥</w:t>
                  </w:r>
                  <w:r>
                    <w:rPr>
                      <w:rFonts w:ascii="仿宋_GB2312" w:hAnsi="仿宋_GB2312" w:cs="仿宋_GB2312" w:eastAsia="仿宋_GB2312"/>
                      <w:sz w:val="16"/>
                    </w:rPr>
                    <w:t>1600×1200、</w:t>
                  </w:r>
                  <w:r>
                    <w:rPr>
                      <w:rFonts w:ascii="仿宋_GB2312" w:hAnsi="仿宋_GB2312" w:cs="仿宋_GB2312" w:eastAsia="仿宋_GB2312"/>
                      <w:sz w:val="16"/>
                    </w:rPr>
                    <w:t>≥</w:t>
                  </w:r>
                  <w:r>
                    <w:rPr>
                      <w:rFonts w:ascii="仿宋_GB2312" w:hAnsi="仿宋_GB2312" w:cs="仿宋_GB2312" w:eastAsia="仿宋_GB2312"/>
                      <w:sz w:val="16"/>
                    </w:rPr>
                    <w:t>1280×720。</w:t>
                  </w:r>
                  <w:r>
                    <w:br/>
                  </w:r>
                  <w:r>
                    <w:rPr>
                      <w:rFonts w:ascii="仿宋_GB2312" w:hAnsi="仿宋_GB2312" w:cs="仿宋_GB2312" w:eastAsia="仿宋_GB2312"/>
                      <w:sz w:val="16"/>
                    </w:rPr>
                    <w:t>9、</w:t>
                  </w:r>
                  <w:r>
                    <w:rPr>
                      <w:rFonts w:ascii="仿宋_GB2312" w:hAnsi="仿宋_GB2312" w:cs="仿宋_GB2312" w:eastAsia="仿宋_GB2312"/>
                      <w:sz w:val="16"/>
                    </w:rPr>
                    <w:t>图像传输延时检验：网络直连情况下，在只输出主码流、分辨率设置为</w:t>
                  </w:r>
                  <w:r>
                    <w:rPr>
                      <w:rFonts w:ascii="仿宋_GB2312" w:hAnsi="仿宋_GB2312" w:cs="仿宋_GB2312" w:eastAsia="仿宋_GB2312"/>
                      <w:sz w:val="16"/>
                    </w:rPr>
                    <w:t>≥</w:t>
                  </w:r>
                  <w:r>
                    <w:rPr>
                      <w:rFonts w:ascii="仿宋_GB2312" w:hAnsi="仿宋_GB2312" w:cs="仿宋_GB2312" w:eastAsia="仿宋_GB2312"/>
                      <w:sz w:val="16"/>
                    </w:rPr>
                    <w:t>1920 × 1080、帧率设置为</w:t>
                  </w:r>
                  <w:r>
                    <w:rPr>
                      <w:rFonts w:ascii="仿宋_GB2312" w:hAnsi="仿宋_GB2312" w:cs="仿宋_GB2312" w:eastAsia="仿宋_GB2312"/>
                      <w:sz w:val="16"/>
                    </w:rPr>
                    <w:t>≥</w:t>
                  </w:r>
                  <w:r>
                    <w:rPr>
                      <w:rFonts w:ascii="仿宋_GB2312" w:hAnsi="仿宋_GB2312" w:cs="仿宋_GB2312" w:eastAsia="仿宋_GB2312"/>
                      <w:sz w:val="16"/>
                    </w:rPr>
                    <w:t>25fps, 码率设置为</w:t>
                  </w:r>
                  <w:r>
                    <w:rPr>
                      <w:rFonts w:ascii="仿宋_GB2312" w:hAnsi="仿宋_GB2312" w:cs="仿宋_GB2312" w:eastAsia="仿宋_GB2312"/>
                      <w:sz w:val="16"/>
                    </w:rPr>
                    <w:t>≥</w:t>
                  </w:r>
                  <w:r>
                    <w:rPr>
                      <w:rFonts w:ascii="仿宋_GB2312" w:hAnsi="仿宋_GB2312" w:cs="仿宋_GB2312" w:eastAsia="仿宋_GB2312"/>
                      <w:sz w:val="16"/>
                    </w:rPr>
                    <w:t>1Mbps，网络协议为UDP、最短延时、智能分析关闭时，视频图像传输至客户端的延时时间</w:t>
                  </w:r>
                  <w:r>
                    <w:rPr>
                      <w:rFonts w:ascii="仿宋_GB2312" w:hAnsi="仿宋_GB2312" w:cs="仿宋_GB2312" w:eastAsia="仿宋_GB2312"/>
                      <w:sz w:val="16"/>
                    </w:rPr>
                    <w:t>≤</w:t>
                  </w:r>
                  <w:r>
                    <w:rPr>
                      <w:rFonts w:ascii="仿宋_GB2312" w:hAnsi="仿宋_GB2312" w:cs="仿宋_GB2312" w:eastAsia="仿宋_GB2312"/>
                      <w:sz w:val="16"/>
                    </w:rPr>
                    <w:t>70ms</w:t>
                  </w:r>
                  <w:r>
                    <w:br/>
                  </w:r>
                  <w:r>
                    <w:rPr>
                      <w:rFonts w:ascii="仿宋_GB2312" w:hAnsi="仿宋_GB2312" w:cs="仿宋_GB2312" w:eastAsia="仿宋_GB2312"/>
                      <w:sz w:val="16"/>
                    </w:rPr>
                    <w:t>10、</w:t>
                  </w:r>
                  <w:r>
                    <w:rPr>
                      <w:rFonts w:ascii="仿宋_GB2312" w:hAnsi="仿宋_GB2312" w:cs="仿宋_GB2312" w:eastAsia="仿宋_GB2312"/>
                      <w:sz w:val="16"/>
                    </w:rPr>
                    <w:t>感兴趣区域设置功能检查：支持</w:t>
                  </w:r>
                  <w:r>
                    <w:rPr>
                      <w:rFonts w:ascii="仿宋_GB2312" w:hAnsi="仿宋_GB2312" w:cs="仿宋_GB2312" w:eastAsia="仿宋_GB2312"/>
                      <w:sz w:val="16"/>
                    </w:rPr>
                    <w:t>≥</w:t>
                  </w:r>
                  <w:r>
                    <w:rPr>
                      <w:rFonts w:ascii="仿宋_GB2312" w:hAnsi="仿宋_GB2312" w:cs="仿宋_GB2312" w:eastAsia="仿宋_GB2312"/>
                      <w:sz w:val="16"/>
                    </w:rPr>
                    <w:t>37块感兴趣区域（ROI）增强编码设置功能，ROI区域压缩比在0~100范围内可设置。</w:t>
                  </w:r>
                  <w:r>
                    <w:br/>
                  </w:r>
                  <w:r>
                    <w:rPr>
                      <w:rFonts w:ascii="仿宋_GB2312" w:hAnsi="仿宋_GB2312" w:cs="仿宋_GB2312" w:eastAsia="仿宋_GB2312"/>
                      <w:sz w:val="16"/>
                    </w:rPr>
                    <w:t>11、</w:t>
                  </w:r>
                  <w:r>
                    <w:rPr>
                      <w:rFonts w:ascii="仿宋_GB2312" w:hAnsi="仿宋_GB2312" w:cs="仿宋_GB2312" w:eastAsia="仿宋_GB2312"/>
                      <w:sz w:val="16"/>
                    </w:rPr>
                    <w:t>车牌识别功能检查</w:t>
                  </w:r>
                  <w:r>
                    <w:rPr>
                      <w:rFonts w:ascii="仿宋_GB2312" w:hAnsi="仿宋_GB2312" w:cs="仿宋_GB2312" w:eastAsia="仿宋_GB2312"/>
                      <w:sz w:val="16"/>
                    </w:rPr>
                    <w:t>：支持对</w:t>
                  </w:r>
                  <w:r>
                    <w:rPr>
                      <w:rFonts w:ascii="仿宋_GB2312" w:hAnsi="仿宋_GB2312" w:cs="仿宋_GB2312" w:eastAsia="仿宋_GB2312"/>
                      <w:sz w:val="16"/>
                    </w:rPr>
                    <w:t>≥</w:t>
                  </w:r>
                  <w:r>
                    <w:rPr>
                      <w:rFonts w:ascii="仿宋_GB2312" w:hAnsi="仿宋_GB2312" w:cs="仿宋_GB2312" w:eastAsia="仿宋_GB2312"/>
                      <w:sz w:val="16"/>
                    </w:rPr>
                    <w:t xml:space="preserve">25×10 像素～1100×3000 像素的机动车车牌进行抓拍并识别号码； </w:t>
                  </w:r>
                  <w:r>
                    <w:br/>
                  </w:r>
                  <w:r>
                    <w:rPr>
                      <w:rFonts w:ascii="仿宋_GB2312" w:hAnsi="仿宋_GB2312" w:cs="仿宋_GB2312" w:eastAsia="仿宋_GB2312"/>
                      <w:sz w:val="16"/>
                    </w:rPr>
                    <w:t>12、</w:t>
                  </w:r>
                  <w:r>
                    <w:rPr>
                      <w:rFonts w:ascii="仿宋_GB2312" w:hAnsi="仿宋_GB2312" w:cs="仿宋_GB2312" w:eastAsia="仿宋_GB2312"/>
                      <w:sz w:val="16"/>
                    </w:rPr>
                    <w:t>支持抓拍并识别垂直倾斜角度</w:t>
                  </w:r>
                  <w:r>
                    <w:rPr>
                      <w:rFonts w:ascii="仿宋_GB2312" w:hAnsi="仿宋_GB2312" w:cs="仿宋_GB2312" w:eastAsia="仿宋_GB2312"/>
                      <w:sz w:val="16"/>
                    </w:rPr>
                    <w:t xml:space="preserve">≤45°、水平倾斜角度≤35°、俯仰角度≤40°的机动车车牌号码。 </w:t>
                  </w:r>
                  <w:r>
                    <w:br/>
                  </w:r>
                  <w:r>
                    <w:rPr>
                      <w:rFonts w:ascii="仿宋_GB2312" w:hAnsi="仿宋_GB2312" w:cs="仿宋_GB2312" w:eastAsia="仿宋_GB2312"/>
                      <w:sz w:val="16"/>
                    </w:rPr>
                    <w:t>13、</w:t>
                  </w:r>
                  <w:r>
                    <w:rPr>
                      <w:rFonts w:ascii="仿宋_GB2312" w:hAnsi="仿宋_GB2312" w:cs="仿宋_GB2312" w:eastAsia="仿宋_GB2312"/>
                      <w:sz w:val="16"/>
                    </w:rPr>
                    <w:t>目标跟踪功能检查</w:t>
                  </w:r>
                  <w:r>
                    <w:rPr>
                      <w:rFonts w:ascii="仿宋_GB2312" w:hAnsi="仿宋_GB2312" w:cs="仿宋_GB2312" w:eastAsia="仿宋_GB2312"/>
                      <w:sz w:val="16"/>
                    </w:rPr>
                    <w:t>：支持检测并跟踪指定区域内</w:t>
                  </w:r>
                  <w:r>
                    <w:rPr>
                      <w:rFonts w:ascii="仿宋_GB2312" w:hAnsi="仿宋_GB2312" w:cs="仿宋_GB2312" w:eastAsia="仿宋_GB2312"/>
                      <w:sz w:val="16"/>
                    </w:rPr>
                    <w:t>≥</w:t>
                  </w:r>
                  <w:r>
                    <w:rPr>
                      <w:rFonts w:ascii="仿宋_GB2312" w:hAnsi="仿宋_GB2312" w:cs="仿宋_GB2312" w:eastAsia="仿宋_GB2312"/>
                      <w:sz w:val="16"/>
                    </w:rPr>
                    <w:t xml:space="preserve">245 个目标，目标包括机动车、非机动车以及行人。 </w:t>
                  </w:r>
                  <w:r>
                    <w:br/>
                  </w:r>
                  <w:r>
                    <w:rPr>
                      <w:rFonts w:ascii="仿宋_GB2312" w:hAnsi="仿宋_GB2312" w:cs="仿宋_GB2312" w:eastAsia="仿宋_GB2312"/>
                      <w:sz w:val="16"/>
                    </w:rPr>
                    <w:t>14、</w:t>
                  </w:r>
                  <w:r>
                    <w:rPr>
                      <w:rFonts w:ascii="仿宋_GB2312" w:hAnsi="仿宋_GB2312" w:cs="仿宋_GB2312" w:eastAsia="仿宋_GB2312"/>
                      <w:sz w:val="16"/>
                    </w:rPr>
                    <w:t>车辆子品牌识别功能检查：支持车辆子品牌识别，对车头图片进行分析抓拍，可分析输出</w:t>
                  </w:r>
                  <w:r>
                    <w:rPr>
                      <w:rFonts w:ascii="仿宋_GB2312" w:hAnsi="仿宋_GB2312" w:cs="仿宋_GB2312" w:eastAsia="仿宋_GB2312"/>
                      <w:sz w:val="16"/>
                    </w:rPr>
                    <w:t>OSD叠加</w:t>
                  </w:r>
                  <w:r>
                    <w:rPr>
                      <w:rFonts w:ascii="仿宋_GB2312" w:hAnsi="仿宋_GB2312" w:cs="仿宋_GB2312" w:eastAsia="仿宋_GB2312"/>
                      <w:sz w:val="16"/>
                    </w:rPr>
                    <w:t>≥</w:t>
                  </w:r>
                  <w:r>
                    <w:rPr>
                      <w:rFonts w:ascii="仿宋_GB2312" w:hAnsi="仿宋_GB2312" w:cs="仿宋_GB2312" w:eastAsia="仿宋_GB2312"/>
                      <w:sz w:val="16"/>
                    </w:rPr>
                    <w:t>7200种车辆子品牌并显示相应的年款，对车尾图片进行分析抓拍，可分析输出 OSD 叠加</w:t>
                  </w:r>
                  <w:r>
                    <w:rPr>
                      <w:rFonts w:ascii="仿宋_GB2312" w:hAnsi="仿宋_GB2312" w:cs="仿宋_GB2312" w:eastAsia="仿宋_GB2312"/>
                      <w:sz w:val="16"/>
                    </w:rPr>
                    <w:t>≥</w:t>
                  </w:r>
                  <w:r>
                    <w:rPr>
                      <w:rFonts w:ascii="仿宋_GB2312" w:hAnsi="仿宋_GB2312" w:cs="仿宋_GB2312" w:eastAsia="仿宋_GB2312"/>
                      <w:sz w:val="16"/>
                    </w:rPr>
                    <w:t>3900 种车辆子品牌并显示相应的年款。</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1</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环保补光灯</w:t>
                  </w:r>
                </w:p>
              </w:tc>
              <w:tc>
                <w:tcPr>
                  <w:tcW w:type="dxa" w:w="1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5"/>
                    </w:rPr>
                    <w:t>1、</w:t>
                  </w:r>
                  <w:r>
                    <w:rPr>
                      <w:rFonts w:ascii="仿宋_GB2312" w:hAnsi="仿宋_GB2312" w:cs="仿宋_GB2312" w:eastAsia="仿宋_GB2312"/>
                      <w:sz w:val="15"/>
                    </w:rPr>
                    <w:t>三合一补光灯</w:t>
                  </w:r>
                  <w:r>
                    <w:rPr>
                      <w:rFonts w:ascii="仿宋_GB2312" w:hAnsi="仿宋_GB2312" w:cs="仿宋_GB2312" w:eastAsia="仿宋_GB2312"/>
                      <w:sz w:val="15"/>
                    </w:rPr>
                    <w:t>，</w:t>
                  </w:r>
                  <w:r>
                    <w:rPr>
                      <w:rFonts w:ascii="仿宋_GB2312" w:hAnsi="仿宋_GB2312" w:cs="仿宋_GB2312" w:eastAsia="仿宋_GB2312"/>
                      <w:sz w:val="15"/>
                    </w:rPr>
                    <w:t>铝合金灯体，鳍片式散热结构，面罩透光效果好</w:t>
                  </w:r>
                  <w:r>
                    <w:rPr>
                      <w:rFonts w:ascii="仿宋_GB2312" w:hAnsi="仿宋_GB2312" w:cs="仿宋_GB2312" w:eastAsia="仿宋_GB2312"/>
                      <w:sz w:val="15"/>
                    </w:rPr>
                    <w:t>，</w:t>
                  </w:r>
                  <w:r>
                    <w:rPr>
                      <w:rFonts w:ascii="仿宋_GB2312" w:hAnsi="仿宋_GB2312" w:cs="仿宋_GB2312" w:eastAsia="仿宋_GB2312"/>
                      <w:sz w:val="15"/>
                    </w:rPr>
                    <w:t>采用</w:t>
                  </w:r>
                  <w:r>
                    <w:rPr>
                      <w:rFonts w:ascii="仿宋_GB2312" w:hAnsi="仿宋_GB2312" w:cs="仿宋_GB2312" w:eastAsia="仿宋_GB2312"/>
                      <w:sz w:val="15"/>
                    </w:rPr>
                    <w:t>≥</w:t>
                  </w:r>
                  <w:r>
                    <w:rPr>
                      <w:rFonts w:ascii="仿宋_GB2312" w:hAnsi="仿宋_GB2312" w:cs="仿宋_GB2312" w:eastAsia="仿宋_GB2312"/>
                      <w:sz w:val="15"/>
                    </w:rPr>
                    <w:t>24颗高性能大功率高亮度LED光源，气体光源回电时间</w:t>
                  </w:r>
                  <w:r>
                    <w:rPr>
                      <w:rFonts w:ascii="仿宋_GB2312" w:hAnsi="仿宋_GB2312" w:cs="仿宋_GB2312" w:eastAsia="仿宋_GB2312"/>
                      <w:sz w:val="15"/>
                    </w:rPr>
                    <w:t>≤</w:t>
                  </w:r>
                  <w:r>
                    <w:rPr>
                      <w:rFonts w:ascii="仿宋_GB2312" w:hAnsi="仿宋_GB2312" w:cs="仿宋_GB2312" w:eastAsia="仿宋_GB2312"/>
                      <w:sz w:val="15"/>
                    </w:rPr>
                    <w:t>67ms，支持超速连拍</w:t>
                  </w:r>
                </w:p>
                <w:p>
                  <w:pPr>
                    <w:pStyle w:val="null3"/>
                    <w:jc w:val="left"/>
                  </w:pPr>
                  <w:r>
                    <w:rPr>
                      <w:rFonts w:ascii="仿宋_GB2312" w:hAnsi="仿宋_GB2312" w:cs="仿宋_GB2312" w:eastAsia="仿宋_GB2312"/>
                      <w:sz w:val="16"/>
                    </w:rPr>
                    <w:t>2、</w:t>
                  </w:r>
                  <w:r>
                    <w:rPr>
                      <w:rFonts w:ascii="仿宋_GB2312" w:hAnsi="仿宋_GB2312" w:cs="仿宋_GB2312" w:eastAsia="仿宋_GB2312"/>
                      <w:sz w:val="16"/>
                    </w:rPr>
                    <w:t>采用</w:t>
                  </w:r>
                  <w:r>
                    <w:rPr>
                      <w:rFonts w:ascii="仿宋_GB2312" w:hAnsi="仿宋_GB2312" w:cs="仿宋_GB2312" w:eastAsia="仿宋_GB2312"/>
                      <w:sz w:val="16"/>
                    </w:rPr>
                    <w:t>LED光源和气灯放电两种光源，LED光源呈圆形排布，气体放电光源前置转轴叶片，支持红外和白光补光切换</w:t>
                  </w:r>
                  <w:r>
                    <w:br/>
                  </w:r>
                  <w:r>
                    <w:rPr>
                      <w:rFonts w:ascii="仿宋_GB2312" w:hAnsi="仿宋_GB2312" w:cs="仿宋_GB2312" w:eastAsia="仿宋_GB2312"/>
                      <w:sz w:val="16"/>
                    </w:rPr>
                    <w:t>3、</w:t>
                  </w:r>
                  <w:r>
                    <w:rPr>
                      <w:rFonts w:ascii="仿宋_GB2312" w:hAnsi="仿宋_GB2312" w:cs="仿宋_GB2312" w:eastAsia="仿宋_GB2312"/>
                      <w:sz w:val="16"/>
                    </w:rPr>
                    <w:t>支持</w:t>
                  </w:r>
                  <w:r>
                    <w:rPr>
                      <w:rFonts w:ascii="仿宋_GB2312" w:hAnsi="仿宋_GB2312" w:cs="仿宋_GB2312" w:eastAsia="仿宋_GB2312"/>
                      <w:sz w:val="16"/>
                    </w:rPr>
                    <w:t>LED频闪、LED爆闪、白光气体爆闪及红外气体爆闪四种补光方式，可通过远程控制切换</w:t>
                  </w:r>
                  <w:r>
                    <w:br/>
                  </w:r>
                  <w:r>
                    <w:rPr>
                      <w:rFonts w:ascii="仿宋_GB2312" w:hAnsi="仿宋_GB2312" w:cs="仿宋_GB2312" w:eastAsia="仿宋_GB2312"/>
                      <w:sz w:val="16"/>
                    </w:rPr>
                    <w:t>4、</w:t>
                  </w:r>
                  <w:r>
                    <w:rPr>
                      <w:rFonts w:ascii="仿宋_GB2312" w:hAnsi="仿宋_GB2312" w:cs="仿宋_GB2312" w:eastAsia="仿宋_GB2312"/>
                      <w:sz w:val="16"/>
                    </w:rPr>
                    <w:t>眩光阀值增量</w:t>
                  </w:r>
                  <w:r>
                    <w:rPr>
                      <w:rFonts w:ascii="仿宋_GB2312" w:hAnsi="仿宋_GB2312" w:cs="仿宋_GB2312" w:eastAsia="仿宋_GB2312"/>
                      <w:sz w:val="16"/>
                    </w:rPr>
                    <w:t>TI≤1.08%</w:t>
                  </w:r>
                  <w:r>
                    <w:br/>
                  </w:r>
                  <w:r>
                    <w:rPr>
                      <w:rFonts w:ascii="仿宋_GB2312" w:hAnsi="仿宋_GB2312" w:cs="仿宋_GB2312" w:eastAsia="仿宋_GB2312"/>
                      <w:sz w:val="16"/>
                    </w:rPr>
                    <w:t>5、</w:t>
                  </w:r>
                  <w:r>
                    <w:rPr>
                      <w:rFonts w:ascii="仿宋_GB2312" w:hAnsi="仿宋_GB2312" w:cs="仿宋_GB2312" w:eastAsia="仿宋_GB2312"/>
                      <w:sz w:val="16"/>
                    </w:rPr>
                    <w:t>触发信号异常时，爆闪灯进入自动保护，触发信号输入正常，爆闪灯自动恢复正常</w:t>
                  </w:r>
                  <w:r>
                    <w:br/>
                  </w:r>
                  <w:r>
                    <w:rPr>
                      <w:rFonts w:ascii="仿宋_GB2312" w:hAnsi="仿宋_GB2312" w:cs="仿宋_GB2312" w:eastAsia="仿宋_GB2312"/>
                      <w:sz w:val="16"/>
                    </w:rPr>
                    <w:t>6、≥</w:t>
                  </w:r>
                  <w:r>
                    <w:rPr>
                      <w:rFonts w:ascii="仿宋_GB2312" w:hAnsi="仿宋_GB2312" w:cs="仿宋_GB2312" w:eastAsia="仿宋_GB2312"/>
                      <w:sz w:val="16"/>
                    </w:rPr>
                    <w:t>1路RS485接口、</w:t>
                  </w:r>
                  <w:r>
                    <w:rPr>
                      <w:rFonts w:ascii="仿宋_GB2312" w:hAnsi="仿宋_GB2312" w:cs="仿宋_GB2312" w:eastAsia="仿宋_GB2312"/>
                      <w:sz w:val="16"/>
                    </w:rPr>
                    <w:t>≥</w:t>
                  </w:r>
                  <w:r>
                    <w:rPr>
                      <w:rFonts w:ascii="仿宋_GB2312" w:hAnsi="仿宋_GB2312" w:cs="仿宋_GB2312" w:eastAsia="仿宋_GB2312"/>
                      <w:sz w:val="16"/>
                    </w:rPr>
                    <w:t>1路气体脉冲爆闪输入接口，一路光源切换接口，</w:t>
                  </w:r>
                  <w:r>
                    <w:rPr>
                      <w:rFonts w:ascii="仿宋_GB2312" w:hAnsi="仿宋_GB2312" w:cs="仿宋_GB2312" w:eastAsia="仿宋_GB2312"/>
                      <w:sz w:val="16"/>
                    </w:rPr>
                    <w:t>≥</w:t>
                  </w:r>
                  <w:r>
                    <w:rPr>
                      <w:rFonts w:ascii="仿宋_GB2312" w:hAnsi="仿宋_GB2312" w:cs="仿宋_GB2312" w:eastAsia="仿宋_GB2312"/>
                      <w:sz w:val="16"/>
                    </w:rPr>
                    <w:t>1路频闪输入接口、</w:t>
                  </w:r>
                  <w:r>
                    <w:rPr>
                      <w:rFonts w:ascii="仿宋_GB2312" w:hAnsi="仿宋_GB2312" w:cs="仿宋_GB2312" w:eastAsia="仿宋_GB2312"/>
                      <w:sz w:val="16"/>
                    </w:rPr>
                    <w:t>≥</w:t>
                  </w:r>
                  <w:r>
                    <w:rPr>
                      <w:rFonts w:ascii="仿宋_GB2312" w:hAnsi="仿宋_GB2312" w:cs="仿宋_GB2312" w:eastAsia="仿宋_GB2312"/>
                      <w:sz w:val="16"/>
                    </w:rPr>
                    <w:t>1路LED爆闪输入接口</w:t>
                  </w:r>
                  <w:r>
                    <w:br/>
                  </w:r>
                  <w:r>
                    <w:rPr>
                      <w:rFonts w:ascii="仿宋_GB2312" w:hAnsi="仿宋_GB2312" w:cs="仿宋_GB2312" w:eastAsia="仿宋_GB2312"/>
                      <w:sz w:val="16"/>
                    </w:rPr>
                    <w:t>7、</w:t>
                  </w:r>
                  <w:r>
                    <w:rPr>
                      <w:rFonts w:ascii="仿宋_GB2312" w:hAnsi="仿宋_GB2312" w:cs="仿宋_GB2312" w:eastAsia="仿宋_GB2312"/>
                      <w:sz w:val="16"/>
                    </w:rPr>
                    <w:t>可通过</w:t>
                  </w:r>
                  <w:r>
                    <w:rPr>
                      <w:rFonts w:ascii="仿宋_GB2312" w:hAnsi="仿宋_GB2312" w:cs="仿宋_GB2312" w:eastAsia="仿宋_GB2312"/>
                      <w:sz w:val="16"/>
                    </w:rPr>
                    <w:t>RS485进行远程升级</w:t>
                  </w:r>
                  <w:r>
                    <w:br/>
                  </w:r>
                  <w:r>
                    <w:rPr>
                      <w:rFonts w:ascii="仿宋_GB2312" w:hAnsi="仿宋_GB2312" w:cs="仿宋_GB2312" w:eastAsia="仿宋_GB2312"/>
                      <w:sz w:val="16"/>
                    </w:rPr>
                    <w:t>8、</w:t>
                  </w:r>
                  <w:r>
                    <w:rPr>
                      <w:rFonts w:ascii="仿宋_GB2312" w:hAnsi="仿宋_GB2312" w:cs="仿宋_GB2312" w:eastAsia="仿宋_GB2312"/>
                      <w:sz w:val="16"/>
                    </w:rPr>
                    <w:t>支持记录闪光灯闪光次数</w:t>
                  </w:r>
                  <w:r>
                    <w:br/>
                  </w:r>
                  <w:r>
                    <w:rPr>
                      <w:rFonts w:ascii="仿宋_GB2312" w:hAnsi="仿宋_GB2312" w:cs="仿宋_GB2312" w:eastAsia="仿宋_GB2312"/>
                      <w:sz w:val="16"/>
                    </w:rPr>
                    <w:t>9、</w:t>
                  </w:r>
                  <w:r>
                    <w:rPr>
                      <w:rFonts w:ascii="仿宋_GB2312" w:hAnsi="仿宋_GB2312" w:cs="仿宋_GB2312" w:eastAsia="仿宋_GB2312"/>
                      <w:sz w:val="16"/>
                    </w:rPr>
                    <w:t>防护等级</w:t>
                  </w:r>
                  <w:r>
                    <w:rPr>
                      <w:rFonts w:ascii="仿宋_GB2312" w:hAnsi="仿宋_GB2312" w:cs="仿宋_GB2312" w:eastAsia="仿宋_GB2312"/>
                      <w:sz w:val="16"/>
                    </w:rPr>
                    <w:t>≥</w:t>
                  </w:r>
                  <w:r>
                    <w:rPr>
                      <w:rFonts w:ascii="仿宋_GB2312" w:hAnsi="仿宋_GB2312" w:cs="仿宋_GB2312" w:eastAsia="仿宋_GB2312"/>
                      <w:sz w:val="16"/>
                    </w:rPr>
                    <w:t>IP66</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1</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800万违停抓拍球机</w:t>
                  </w:r>
                </w:p>
              </w:tc>
              <w:tc>
                <w:tcPr>
                  <w:tcW w:type="dxa" w:w="1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shd w:fill="FFFFFF" w:val="clear"/>
                    </w:rPr>
                    <w:t>1、</w:t>
                  </w:r>
                  <w:r>
                    <w:rPr>
                      <w:rFonts w:ascii="仿宋_GB2312" w:hAnsi="仿宋_GB2312" w:cs="仿宋_GB2312" w:eastAsia="仿宋_GB2312"/>
                      <w:sz w:val="15"/>
                      <w:shd w:fill="FFFFFF" w:val="clear"/>
                    </w:rPr>
                    <w:t>全景分辨率</w:t>
                  </w:r>
                  <w:r>
                    <w:rPr>
                      <w:rFonts w:ascii="仿宋_GB2312" w:hAnsi="仿宋_GB2312" w:cs="仿宋_GB2312" w:eastAsia="仿宋_GB2312"/>
                      <w:sz w:val="15"/>
                      <w:shd w:fill="FFFFFF" w:val="clear"/>
                    </w:rPr>
                    <w:t>≥</w:t>
                  </w:r>
                  <w:r>
                    <w:rPr>
                      <w:rFonts w:ascii="仿宋_GB2312" w:hAnsi="仿宋_GB2312" w:cs="仿宋_GB2312" w:eastAsia="仿宋_GB2312"/>
                      <w:sz w:val="15"/>
                      <w:shd w:fill="FFFFFF" w:val="clear"/>
                    </w:rPr>
                    <w:t>5344 × 2256</w:t>
                  </w:r>
                  <w:r>
                    <w:rPr>
                      <w:rFonts w:ascii="仿宋_GB2312" w:hAnsi="仿宋_GB2312" w:cs="仿宋_GB2312" w:eastAsia="仿宋_GB2312"/>
                      <w:sz w:val="15"/>
                      <w:shd w:fill="FFFFFF" w:val="clear"/>
                    </w:rPr>
                    <w:t>，</w:t>
                  </w:r>
                  <w:r>
                    <w:rPr>
                      <w:rFonts w:ascii="仿宋_GB2312" w:hAnsi="仿宋_GB2312" w:cs="仿宋_GB2312" w:eastAsia="仿宋_GB2312"/>
                      <w:sz w:val="16"/>
                    </w:rPr>
                    <w:t>细节通道视频图像分辨率</w:t>
                  </w:r>
                  <w:r>
                    <w:rPr>
                      <w:rFonts w:ascii="仿宋_GB2312" w:hAnsi="仿宋_GB2312" w:cs="仿宋_GB2312" w:eastAsia="仿宋_GB2312"/>
                      <w:sz w:val="16"/>
                    </w:rPr>
                    <w:t>≥3840 x 2160</w:t>
                  </w:r>
                </w:p>
                <w:p>
                  <w:pPr>
                    <w:pStyle w:val="null3"/>
                    <w:spacing w:after="120"/>
                    <w:jc w:val="both"/>
                  </w:pPr>
                  <w:r>
                    <w:rPr>
                      <w:rFonts w:ascii="仿宋_GB2312" w:hAnsi="仿宋_GB2312" w:cs="仿宋_GB2312" w:eastAsia="仿宋_GB2312"/>
                      <w:sz w:val="16"/>
                    </w:rPr>
                    <w:t>2、</w:t>
                  </w:r>
                  <w:r>
                    <w:rPr>
                      <w:rFonts w:ascii="仿宋_GB2312" w:hAnsi="仿宋_GB2312" w:cs="仿宋_GB2312" w:eastAsia="仿宋_GB2312"/>
                      <w:sz w:val="16"/>
                    </w:rPr>
                    <w:t>摄像机内置镜头，支持</w:t>
                  </w:r>
                  <w:r>
                    <w:rPr>
                      <w:rFonts w:ascii="仿宋_GB2312" w:hAnsi="仿宋_GB2312" w:cs="仿宋_GB2312" w:eastAsia="仿宋_GB2312"/>
                      <w:sz w:val="16"/>
                    </w:rPr>
                    <w:t>≥40倍光学变倍，镜头最大焦距≥240mm摄像机内置≥3个镜头，可输出≥1路全景视频图像和1路细节视频图像，全景视频图像内置2个镜头，细节视频图像内置1个镜头</w:t>
                  </w:r>
                  <w:r>
                    <w:br/>
                  </w:r>
                  <w:r>
                    <w:rPr>
                      <w:rFonts w:ascii="仿宋_GB2312" w:hAnsi="仿宋_GB2312" w:cs="仿宋_GB2312" w:eastAsia="仿宋_GB2312"/>
                      <w:sz w:val="16"/>
                    </w:rPr>
                    <w:t>3、</w:t>
                  </w:r>
                  <w:r>
                    <w:rPr>
                      <w:rFonts w:ascii="仿宋_GB2312" w:hAnsi="仿宋_GB2312" w:cs="仿宋_GB2312" w:eastAsia="仿宋_GB2312"/>
                      <w:sz w:val="16"/>
                    </w:rPr>
                    <w:t>全景视频图像内置</w:t>
                  </w:r>
                  <w:r>
                    <w:rPr>
                      <w:rFonts w:ascii="仿宋_GB2312" w:hAnsi="仿宋_GB2312" w:cs="仿宋_GB2312" w:eastAsia="仿宋_GB2312"/>
                      <w:sz w:val="16"/>
                    </w:rPr>
                    <w:t>≥2个镜头，光圈≥F1.0，具有≥1/1.8靶面尺寸，内置≥4颗补光灯。细节视频图像内置≥1个镜头，具有≥1/1.8靶面尺寸，内置≥10颗红外补光灯及≥1颗白光灯</w:t>
                  </w:r>
                  <w:r>
                    <w:br/>
                  </w:r>
                  <w:r>
                    <w:rPr>
                      <w:rFonts w:ascii="仿宋_GB2312" w:hAnsi="仿宋_GB2312" w:cs="仿宋_GB2312" w:eastAsia="仿宋_GB2312"/>
                      <w:sz w:val="16"/>
                    </w:rPr>
                    <w:t>4、</w:t>
                  </w:r>
                  <w:r>
                    <w:rPr>
                      <w:rFonts w:ascii="仿宋_GB2312" w:hAnsi="仿宋_GB2312" w:cs="仿宋_GB2312" w:eastAsia="仿宋_GB2312"/>
                      <w:sz w:val="16"/>
                    </w:rPr>
                    <w:t>全景通道、细节通道镜头最低照度：彩色</w:t>
                  </w:r>
                  <w:r>
                    <w:rPr>
                      <w:rFonts w:ascii="仿宋_GB2312" w:hAnsi="仿宋_GB2312" w:cs="仿宋_GB2312" w:eastAsia="仿宋_GB2312"/>
                      <w:sz w:val="16"/>
                    </w:rPr>
                    <w:t>≤0.0002lx，黑白≤0.0001lx</w:t>
                  </w:r>
                  <w:r>
                    <w:br/>
                  </w:r>
                  <w:r>
                    <w:rPr>
                      <w:rFonts w:ascii="仿宋_GB2312" w:hAnsi="仿宋_GB2312" w:cs="仿宋_GB2312" w:eastAsia="仿宋_GB2312"/>
                      <w:sz w:val="16"/>
                    </w:rPr>
                    <w:t>5、</w:t>
                  </w:r>
                  <w:r>
                    <w:rPr>
                      <w:rFonts w:ascii="仿宋_GB2312" w:hAnsi="仿宋_GB2312" w:cs="仿宋_GB2312" w:eastAsia="仿宋_GB2312"/>
                      <w:sz w:val="16"/>
                    </w:rPr>
                    <w:t>内置</w:t>
                  </w:r>
                  <w:r>
                    <w:rPr>
                      <w:rFonts w:ascii="仿宋_GB2312" w:hAnsi="仿宋_GB2312" w:cs="仿宋_GB2312" w:eastAsia="仿宋_GB2312"/>
                      <w:sz w:val="16"/>
                    </w:rPr>
                    <w:t>≥2颗GPU芯片，全景通道可输出两个镜头无缝拼接的全景图像，纵向拼接偏差像素不大于4个像素，全景通道水平视场角≥190°，垂直视场角≥80°</w:t>
                  </w:r>
                  <w:r>
                    <w:br/>
                  </w:r>
                  <w:r>
                    <w:rPr>
                      <w:rFonts w:ascii="仿宋_GB2312" w:hAnsi="仿宋_GB2312" w:cs="仿宋_GB2312" w:eastAsia="仿宋_GB2312"/>
                      <w:sz w:val="16"/>
                    </w:rPr>
                    <w:t>6、</w:t>
                  </w:r>
                  <w:r>
                    <w:rPr>
                      <w:rFonts w:ascii="仿宋_GB2312" w:hAnsi="仿宋_GB2312" w:cs="仿宋_GB2312" w:eastAsia="仿宋_GB2312"/>
                      <w:sz w:val="16"/>
                    </w:rPr>
                    <w:t>全景通道支持人员密度检测功能，并可输出显示实时人数及拥堵等级，可通过</w:t>
                  </w:r>
                  <w:r>
                    <w:rPr>
                      <w:rFonts w:ascii="仿宋_GB2312" w:hAnsi="仿宋_GB2312" w:cs="仿宋_GB2312" w:eastAsia="仿宋_GB2312"/>
                      <w:sz w:val="16"/>
                    </w:rPr>
                    <w:t>IE浏览器或客户端软件根据人数和占空比配置密度等级。全景通道支持区域入侵检测功能，并给出声光报警，同时联动细节通道进行跟踪、抓拍和结构化信息显示，全景通道区域入侵检测最远距离不小于50m</w:t>
                  </w:r>
                  <w:r>
                    <w:br/>
                  </w:r>
                  <w:r>
                    <w:rPr>
                      <w:rFonts w:ascii="仿宋_GB2312" w:hAnsi="仿宋_GB2312" w:cs="仿宋_GB2312" w:eastAsia="仿宋_GB2312"/>
                      <w:sz w:val="16"/>
                    </w:rPr>
                    <w:t>7、</w:t>
                  </w:r>
                  <w:r>
                    <w:rPr>
                      <w:rFonts w:ascii="仿宋_GB2312" w:hAnsi="仿宋_GB2312" w:cs="仿宋_GB2312" w:eastAsia="仿宋_GB2312"/>
                      <w:sz w:val="16"/>
                    </w:rPr>
                    <w:t>支持人员布控功能和车辆布控跟踪功能</w:t>
                  </w:r>
                  <w:r>
                    <w:br/>
                  </w:r>
                  <w:r>
                    <w:rPr>
                      <w:rFonts w:ascii="仿宋_GB2312" w:hAnsi="仿宋_GB2312" w:cs="仿宋_GB2312" w:eastAsia="仿宋_GB2312"/>
                      <w:sz w:val="16"/>
                    </w:rPr>
                    <w:t>8、</w:t>
                  </w:r>
                  <w:r>
                    <w:rPr>
                      <w:rFonts w:ascii="仿宋_GB2312" w:hAnsi="仿宋_GB2312" w:cs="仿宋_GB2312" w:eastAsia="仿宋_GB2312"/>
                      <w:sz w:val="16"/>
                    </w:rPr>
                    <w:t>当有停车、逆行、压线、变道、掉头、机动车占用非机动车道现象被触发时，设备可分别发出不同的语音提示</w:t>
                  </w:r>
                  <w:r>
                    <w:br/>
                  </w:r>
                  <w:r>
                    <w:rPr>
                      <w:rFonts w:ascii="仿宋_GB2312" w:hAnsi="仿宋_GB2312" w:cs="仿宋_GB2312" w:eastAsia="仿宋_GB2312"/>
                      <w:sz w:val="16"/>
                    </w:rPr>
                    <w:t>9、</w:t>
                  </w:r>
                  <w:r>
                    <w:rPr>
                      <w:rFonts w:ascii="仿宋_GB2312" w:hAnsi="仿宋_GB2312" w:cs="仿宋_GB2312" w:eastAsia="仿宋_GB2312"/>
                      <w:sz w:val="16"/>
                    </w:rPr>
                    <w:t>声音报警输出功能，可通过</w:t>
                  </w:r>
                  <w:r>
                    <w:rPr>
                      <w:rFonts w:ascii="仿宋_GB2312" w:hAnsi="仿宋_GB2312" w:cs="仿宋_GB2312" w:eastAsia="仿宋_GB2312"/>
                      <w:sz w:val="16"/>
                    </w:rPr>
                    <w:t>IE浏览器设置音频类型为11种警戒音、提示音、自定义语音，报警次数1～50次可设；闪光灯报警输出功能，可通过IE浏览器设置闪光灯闪烁时间（1-300），闪烁频率（高、中、低、常亮），亮度（1-100），可通过区域入侵侦测、越界侦测、进入区域侦测、离开区域侦测等报警事件，联动闪光报警、声音报警</w:t>
                  </w:r>
                  <w:r>
                    <w:br/>
                  </w:r>
                  <w:r>
                    <w:rPr>
                      <w:rFonts w:ascii="仿宋_GB2312" w:hAnsi="仿宋_GB2312" w:cs="仿宋_GB2312" w:eastAsia="仿宋_GB2312"/>
                      <w:sz w:val="16"/>
                    </w:rPr>
                    <w:t>设备可同时对行人、非机动车、机动车进行检测、跟踪、抓拍</w:t>
                  </w:r>
                  <w:r>
                    <w:rPr>
                      <w:rFonts w:ascii="仿宋_GB2312" w:hAnsi="仿宋_GB2312" w:cs="仿宋_GB2312" w:eastAsia="仿宋_GB2312"/>
                      <w:sz w:val="16"/>
                    </w:rPr>
                    <w:t>,可支持人脸与人体、车牌与车辆关联显示。目标属性显示功能支持人脸属性、人体属性、非机动车属性、机动车属性</w:t>
                  </w:r>
                  <w:r>
                    <w:br/>
                  </w:r>
                  <w:r>
                    <w:rPr>
                      <w:rFonts w:ascii="仿宋_GB2312" w:hAnsi="仿宋_GB2312" w:cs="仿宋_GB2312" w:eastAsia="仿宋_GB2312"/>
                      <w:sz w:val="16"/>
                    </w:rPr>
                    <w:t>10、</w:t>
                  </w:r>
                  <w:r>
                    <w:rPr>
                      <w:rFonts w:ascii="仿宋_GB2312" w:hAnsi="仿宋_GB2312" w:cs="仿宋_GB2312" w:eastAsia="仿宋_GB2312"/>
                      <w:sz w:val="16"/>
                    </w:rPr>
                    <w:t>可识别距设备</w:t>
                  </w:r>
                  <w:r>
                    <w:rPr>
                      <w:rFonts w:ascii="仿宋_GB2312" w:hAnsi="仿宋_GB2312" w:cs="仿宋_GB2312" w:eastAsia="仿宋_GB2312"/>
                      <w:sz w:val="16"/>
                    </w:rPr>
                    <w:t>≥250m处的人体轮廓</w:t>
                  </w:r>
                  <w:r>
                    <w:br/>
                  </w:r>
                  <w:r>
                    <w:rPr>
                      <w:rFonts w:ascii="仿宋_GB2312" w:hAnsi="仿宋_GB2312" w:cs="仿宋_GB2312" w:eastAsia="仿宋_GB2312"/>
                      <w:sz w:val="16"/>
                    </w:rPr>
                    <w:t>11、</w:t>
                  </w:r>
                  <w:r>
                    <w:rPr>
                      <w:rFonts w:ascii="仿宋_GB2312" w:hAnsi="仿宋_GB2312" w:cs="仿宋_GB2312" w:eastAsia="仿宋_GB2312"/>
                      <w:sz w:val="16"/>
                    </w:rPr>
                    <w:t>具有</w:t>
                  </w:r>
                  <w:r>
                    <w:rPr>
                      <w:rFonts w:ascii="仿宋_GB2312" w:hAnsi="仿宋_GB2312" w:cs="仿宋_GB2312" w:eastAsia="仿宋_GB2312"/>
                      <w:sz w:val="16"/>
                    </w:rPr>
                    <w:t>≥7路报警输入、≥2路报警输出、≥1路音频输入、≥1路音频输出</w:t>
                  </w:r>
                  <w:r>
                    <w:br/>
                  </w:r>
                  <w:r>
                    <w:rPr>
                      <w:rFonts w:ascii="仿宋_GB2312" w:hAnsi="仿宋_GB2312" w:cs="仿宋_GB2312" w:eastAsia="仿宋_GB2312"/>
                      <w:sz w:val="16"/>
                    </w:rPr>
                    <w:t>12、</w:t>
                  </w:r>
                  <w:r>
                    <w:rPr>
                      <w:rFonts w:ascii="仿宋_GB2312" w:hAnsi="仿宋_GB2312" w:cs="仿宋_GB2312" w:eastAsia="仿宋_GB2312"/>
                      <w:sz w:val="16"/>
                    </w:rPr>
                    <w:t>外壳防护等级</w:t>
                  </w:r>
                  <w:r>
                    <w:rPr>
                      <w:rFonts w:ascii="仿宋_GB2312" w:hAnsi="仿宋_GB2312" w:cs="仿宋_GB2312" w:eastAsia="仿宋_GB2312"/>
                      <w:sz w:val="16"/>
                    </w:rPr>
                    <w:t>≥IP67</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16</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rPr>
                    <w:t>800万大模型违停球机</w:t>
                  </w:r>
                </w:p>
              </w:tc>
              <w:tc>
                <w:tcPr>
                  <w:tcW w:type="dxa" w:w="1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shd w:fill="FFFFFF" w:val="clear"/>
                    </w:rPr>
                    <w:t>1、≥</w:t>
                  </w:r>
                  <w:r>
                    <w:rPr>
                      <w:rFonts w:ascii="仿宋_GB2312" w:hAnsi="仿宋_GB2312" w:cs="仿宋_GB2312" w:eastAsia="仿宋_GB2312"/>
                      <w:sz w:val="15"/>
                      <w:shd w:fill="FFFFFF" w:val="clear"/>
                    </w:rPr>
                    <w:t>40倍光学变倍</w:t>
                  </w:r>
                </w:p>
                <w:p>
                  <w:pPr>
                    <w:pStyle w:val="null3"/>
                    <w:jc w:val="left"/>
                  </w:pPr>
                  <w:r>
                    <w:rPr>
                      <w:rFonts w:ascii="仿宋_GB2312" w:hAnsi="仿宋_GB2312" w:cs="仿宋_GB2312" w:eastAsia="仿宋_GB2312"/>
                      <w:sz w:val="16"/>
                    </w:rPr>
                    <w:t>2、</w:t>
                  </w:r>
                  <w:r>
                    <w:rPr>
                      <w:rFonts w:ascii="仿宋_GB2312" w:hAnsi="仿宋_GB2312" w:cs="仿宋_GB2312" w:eastAsia="仿宋_GB2312"/>
                      <w:sz w:val="16"/>
                    </w:rPr>
                    <w:t>摄像机靶面尺寸为</w:t>
                  </w:r>
                  <w:r>
                    <w:rPr>
                      <w:rFonts w:ascii="仿宋_GB2312" w:hAnsi="仿宋_GB2312" w:cs="仿宋_GB2312" w:eastAsia="仿宋_GB2312"/>
                      <w:sz w:val="16"/>
                    </w:rPr>
                    <w:t>≥1/1.8英寸、分辨率与帧率可设置为≥3840*2160@30fps</w:t>
                  </w:r>
                  <w:r>
                    <w:br/>
                  </w:r>
                  <w:r>
                    <w:rPr>
                      <w:rFonts w:ascii="仿宋_GB2312" w:hAnsi="仿宋_GB2312" w:cs="仿宋_GB2312" w:eastAsia="仿宋_GB2312"/>
                      <w:sz w:val="16"/>
                    </w:rPr>
                    <w:t>3、</w:t>
                  </w:r>
                  <w:r>
                    <w:rPr>
                      <w:rFonts w:ascii="仿宋_GB2312" w:hAnsi="仿宋_GB2312" w:cs="仿宋_GB2312" w:eastAsia="仿宋_GB2312"/>
                      <w:sz w:val="16"/>
                    </w:rPr>
                    <w:t>样机自带雨刷</w:t>
                  </w:r>
                  <w:r>
                    <w:rPr>
                      <w:rFonts w:ascii="仿宋_GB2312" w:hAnsi="仿宋_GB2312" w:cs="仿宋_GB2312" w:eastAsia="仿宋_GB2312"/>
                      <w:sz w:val="16"/>
                    </w:rPr>
                    <w:t>,可通过网络远程控制雨刷功能检验雨刷开启、关闭</w:t>
                  </w:r>
                  <w:r>
                    <w:br/>
                  </w:r>
                  <w:r>
                    <w:rPr>
                      <w:rFonts w:ascii="仿宋_GB2312" w:hAnsi="仿宋_GB2312" w:cs="仿宋_GB2312" w:eastAsia="仿宋_GB2312"/>
                      <w:sz w:val="16"/>
                    </w:rPr>
                    <w:t>4、</w:t>
                  </w:r>
                  <w:r>
                    <w:rPr>
                      <w:rFonts w:ascii="仿宋_GB2312" w:hAnsi="仿宋_GB2312" w:cs="仿宋_GB2312" w:eastAsia="仿宋_GB2312"/>
                      <w:sz w:val="16"/>
                    </w:rPr>
                    <w:t>可通过</w:t>
                  </w:r>
                  <w:r>
                    <w:rPr>
                      <w:rFonts w:ascii="仿宋_GB2312" w:hAnsi="仿宋_GB2312" w:cs="仿宋_GB2312" w:eastAsia="仿宋_GB2312"/>
                      <w:sz w:val="16"/>
                    </w:rPr>
                    <w:t>IE浏览器将视频编码格式设置为H. 265、H.264、MJPEG、smart265</w:t>
                  </w:r>
                  <w:r>
                    <w:br/>
                  </w:r>
                  <w:r>
                    <w:rPr>
                      <w:rFonts w:ascii="仿宋_GB2312" w:hAnsi="仿宋_GB2312" w:cs="仿宋_GB2312" w:eastAsia="仿宋_GB2312"/>
                      <w:sz w:val="16"/>
                    </w:rPr>
                    <w:t>5、</w:t>
                  </w:r>
                  <w:r>
                    <w:rPr>
                      <w:rFonts w:ascii="仿宋_GB2312" w:hAnsi="仿宋_GB2312" w:cs="仿宋_GB2312" w:eastAsia="仿宋_GB2312"/>
                      <w:sz w:val="16"/>
                    </w:rPr>
                    <w:t>支持对距离样机</w:t>
                  </w:r>
                  <w:r>
                    <w:rPr>
                      <w:rFonts w:ascii="仿宋_GB2312" w:hAnsi="仿宋_GB2312" w:cs="仿宋_GB2312" w:eastAsia="仿宋_GB2312"/>
                      <w:sz w:val="16"/>
                    </w:rPr>
                    <w:t>≥250m处机动车违法停车行为进行抓拍</w:t>
                  </w:r>
                  <w:r>
                    <w:br/>
                  </w:r>
                  <w:r>
                    <w:rPr>
                      <w:rFonts w:ascii="仿宋_GB2312" w:hAnsi="仿宋_GB2312" w:cs="仿宋_GB2312" w:eastAsia="仿宋_GB2312"/>
                      <w:sz w:val="16"/>
                    </w:rPr>
                    <w:t>6、</w:t>
                  </w:r>
                  <w:r>
                    <w:rPr>
                      <w:rFonts w:ascii="仿宋_GB2312" w:hAnsi="仿宋_GB2312" w:cs="仿宋_GB2312" w:eastAsia="仿宋_GB2312"/>
                      <w:sz w:val="16"/>
                    </w:rPr>
                    <w:t>可对机动车违停、逆行、压线、连续变道、机占非、掉头、蛇形变道、变道、加塞</w:t>
                  </w:r>
                  <w:r>
                    <w:rPr>
                      <w:rFonts w:ascii="仿宋_GB2312" w:hAnsi="仿宋_GB2312" w:cs="仿宋_GB2312" w:eastAsia="仿宋_GB2312"/>
                      <w:sz w:val="16"/>
                    </w:rPr>
                    <w:t>9种交通违法行为进行检测并抓拍，当触发报警后，可联动报警并上传图片</w:t>
                  </w:r>
                  <w:r>
                    <w:br/>
                  </w:r>
                  <w:r>
                    <w:rPr>
                      <w:rFonts w:ascii="仿宋_GB2312" w:hAnsi="仿宋_GB2312" w:cs="仿宋_GB2312" w:eastAsia="仿宋_GB2312"/>
                      <w:sz w:val="16"/>
                    </w:rPr>
                    <w:t>7、</w:t>
                  </w:r>
                  <w:r>
                    <w:rPr>
                      <w:rFonts w:ascii="仿宋_GB2312" w:hAnsi="仿宋_GB2312" w:cs="仿宋_GB2312" w:eastAsia="仿宋_GB2312"/>
                      <w:sz w:val="16"/>
                    </w:rPr>
                    <w:t>样机支持抛洒物检测、行人检测、拥堵检测、路障检测、施工检测、交通事故检测、烟雾检测、火灾检测</w:t>
                  </w:r>
                  <w:r>
                    <w:rPr>
                      <w:rFonts w:ascii="仿宋_GB2312" w:hAnsi="仿宋_GB2312" w:cs="仿宋_GB2312" w:eastAsia="仿宋_GB2312"/>
                      <w:sz w:val="16"/>
                    </w:rPr>
                    <w:t>,当监控场景内道路事件触发报警后,可联动报警输出并上传图片,支持配置灵敏度、持续时间和过滤时间,支持布防多边形检测区域</w:t>
                  </w:r>
                  <w:r>
                    <w:br/>
                  </w:r>
                  <w:r>
                    <w:rPr>
                      <w:rFonts w:ascii="仿宋_GB2312" w:hAnsi="仿宋_GB2312" w:cs="仿宋_GB2312" w:eastAsia="仿宋_GB2312"/>
                      <w:sz w:val="16"/>
                    </w:rPr>
                    <w:t>8、</w:t>
                  </w:r>
                  <w:r>
                    <w:rPr>
                      <w:rFonts w:ascii="仿宋_GB2312" w:hAnsi="仿宋_GB2312" w:cs="仿宋_GB2312" w:eastAsia="仿宋_GB2312"/>
                      <w:sz w:val="16"/>
                    </w:rPr>
                    <w:t>交通事件和道路事件可根据布防时间自动切换</w:t>
                  </w:r>
                  <w:r>
                    <w:br/>
                  </w:r>
                  <w:r>
                    <w:rPr>
                      <w:rFonts w:ascii="仿宋_GB2312" w:hAnsi="仿宋_GB2312" w:cs="仿宋_GB2312" w:eastAsia="仿宋_GB2312"/>
                      <w:sz w:val="16"/>
                    </w:rPr>
                    <w:t>9、</w:t>
                  </w:r>
                  <w:r>
                    <w:rPr>
                      <w:rFonts w:ascii="仿宋_GB2312" w:hAnsi="仿宋_GB2312" w:cs="仿宋_GB2312" w:eastAsia="仿宋_GB2312"/>
                      <w:sz w:val="16"/>
                    </w:rPr>
                    <w:t>样机可在智能展示界面显示通过监视画面中的机动车子品牌标志</w:t>
                  </w:r>
                  <w:r>
                    <w:rPr>
                      <w:rFonts w:ascii="仿宋_GB2312" w:hAnsi="仿宋_GB2312" w:cs="仿宋_GB2312" w:eastAsia="仿宋_GB2312"/>
                      <w:sz w:val="16"/>
                    </w:rPr>
                    <w:t>,显示车尾子品牌标志≥3000种;显示车头子品牌标志≥7100种</w:t>
                  </w:r>
                  <w:r>
                    <w:br/>
                  </w:r>
                  <w:r>
                    <w:rPr>
                      <w:rFonts w:ascii="仿宋_GB2312" w:hAnsi="仿宋_GB2312" w:cs="仿宋_GB2312" w:eastAsia="仿宋_GB2312"/>
                      <w:sz w:val="16"/>
                    </w:rPr>
                    <w:t>10、</w:t>
                  </w:r>
                  <w:r>
                    <w:rPr>
                      <w:rFonts w:ascii="仿宋_GB2312" w:hAnsi="仿宋_GB2312" w:cs="仿宋_GB2312" w:eastAsia="仿宋_GB2312"/>
                      <w:sz w:val="16"/>
                    </w:rPr>
                    <w:t>样机检测到违停车辆时</w:t>
                  </w:r>
                  <w:r>
                    <w:rPr>
                      <w:rFonts w:ascii="仿宋_GB2312" w:hAnsi="仿宋_GB2312" w:cs="仿宋_GB2312" w:eastAsia="仿宋_GB2312"/>
                      <w:sz w:val="16"/>
                    </w:rPr>
                    <w:t>,若目标车牌被遮挡物遮挡时,样机可不对该目标进行车牌识别,并上报无车牌报警</w:t>
                  </w:r>
                  <w:r>
                    <w:br/>
                  </w:r>
                  <w:r>
                    <w:rPr>
                      <w:rFonts w:ascii="仿宋_GB2312" w:hAnsi="仿宋_GB2312" w:cs="仿宋_GB2312" w:eastAsia="仿宋_GB2312"/>
                      <w:sz w:val="16"/>
                    </w:rPr>
                    <w:t>11、</w:t>
                  </w:r>
                  <w:r>
                    <w:rPr>
                      <w:rFonts w:ascii="仿宋_GB2312" w:hAnsi="仿宋_GB2312" w:cs="仿宋_GB2312" w:eastAsia="仿宋_GB2312"/>
                      <w:sz w:val="16"/>
                    </w:rPr>
                    <w:t>开启车牌增强功能后，在检测到车辆违停时，可对目标车辆的车牌进行降噪处理</w:t>
                  </w:r>
                  <w:r>
                    <w:br/>
                  </w:r>
                  <w:r>
                    <w:rPr>
                      <w:rFonts w:ascii="仿宋_GB2312" w:hAnsi="仿宋_GB2312" w:cs="仿宋_GB2312" w:eastAsia="仿宋_GB2312"/>
                      <w:sz w:val="16"/>
                    </w:rPr>
                    <w:t>样机可对抛洒物事件中的树影、标线进行过滤</w:t>
                  </w:r>
                  <w:r>
                    <w:rPr>
                      <w:rFonts w:ascii="仿宋_GB2312" w:hAnsi="仿宋_GB2312" w:cs="仿宋_GB2312" w:eastAsia="仿宋_GB2312"/>
                      <w:sz w:val="16"/>
                    </w:rPr>
                    <w:t>;可对停车事件中的施工车辆进行过滤;可对行人事件中的交通设施、车身部件、影子进行过滤</w:t>
                  </w:r>
                  <w:r>
                    <w:br/>
                  </w:r>
                  <w:r>
                    <w:rPr>
                      <w:rFonts w:ascii="仿宋_GB2312" w:hAnsi="仿宋_GB2312" w:cs="仿宋_GB2312" w:eastAsia="仿宋_GB2312"/>
                      <w:sz w:val="16"/>
                    </w:rPr>
                    <w:t>12、</w:t>
                  </w:r>
                  <w:r>
                    <w:rPr>
                      <w:rFonts w:ascii="仿宋_GB2312" w:hAnsi="仿宋_GB2312" w:cs="仿宋_GB2312" w:eastAsia="仿宋_GB2312"/>
                      <w:sz w:val="16"/>
                    </w:rPr>
                    <w:t>摄像机内置</w:t>
                  </w:r>
                  <w:r>
                    <w:rPr>
                      <w:rFonts w:ascii="仿宋_GB2312" w:hAnsi="仿宋_GB2312" w:cs="仿宋_GB2312" w:eastAsia="仿宋_GB2312"/>
                      <w:sz w:val="16"/>
                    </w:rPr>
                    <w:t>≥1颗8GB eMMC芯片、≥12颗补光灯、≥1颗GPU芯片，具有≥1个RJ45网络接口、≥1路音频输入、≥1路音频输出、≥7路报警输入、≥2路报警输出、1个RS485接口、≥1个调试串口、≥1个SD卡槽。</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15</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合同签订后至2026年5月31日完成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镇巴县</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项目完成百分之五十</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项目全部完成</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验收通过后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供应商具有独立承担民事责任能力的法人、其他组织或自然人，提供合法有效的统一社会信用代码营业执照或事业单位法人证书（自然人应提供身份证明）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)；（供应商应按照汉中市财政局《关于全面推行政府采购供应商基本资格条件承诺制的通知》（汉采办采管〔2024〕20号）文件要求，需提供加盖公章的《汉中市政府采购供应商资格承诺函》）</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符合第三章规定的服务范围和产品</w:t>
            </w:r>
          </w:p>
        </w:tc>
        <w:tc>
          <w:tcPr>
            <w:tcW w:type="dxa" w:w="1661"/>
          </w:tcPr>
          <w:p>
            <w:pPr>
              <w:pStyle w:val="null3"/>
            </w:pPr>
            <w:r>
              <w:rPr>
                <w:rFonts w:ascii="仿宋_GB2312" w:hAnsi="仿宋_GB2312" w:cs="仿宋_GB2312" w:eastAsia="仿宋_GB2312"/>
              </w:rPr>
              <w:t>产品技术参数表 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供应商提供2022年1月1日至今已完成的类似业绩，每提供一份得2.5分，最多得5分。 注：以合同复印件为准。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一、评审内容：供应商针对本项目提供项目配备人员，内容包含但不限于： ①项目成员配置清单及架构，项目配备人员的专业素质、人员结构； ②项目成员的主要职责及工作内容。 二、评审标准： 1、完整性：方案必须全面，对评审内容中的各项要求有详细描述； 2、可实施性：切合本项目实际情况，提出步骤清晰、合理的方案； 3、针对性：方案能够紧扣项目实际情况，内容科学合理。 三、赋分标准（满分3分） ①项目成员配置清单及架构，项目配备人员的专业素质、人员结构：每完全满足一个评审标准得0.5分，满分1.5分； ②项目成员的主要职责及工作内容：每完全满足一个评审标准得0.5分，满分1.5分； ③未提供者不得分。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产品技术</w:t>
            </w:r>
          </w:p>
        </w:tc>
        <w:tc>
          <w:tcPr>
            <w:tcW w:type="dxa" w:w="2492"/>
          </w:tcPr>
          <w:p>
            <w:pPr>
              <w:pStyle w:val="null3"/>
            </w:pPr>
            <w:r>
              <w:rPr>
                <w:rFonts w:ascii="仿宋_GB2312" w:hAnsi="仿宋_GB2312" w:cs="仿宋_GB2312" w:eastAsia="仿宋_GB2312"/>
              </w:rPr>
              <w:t>满足招标文件要求的全部技术参数得20分,有一项负偏离的扣1分，扣完为止。 注：需提供参数对应证明材料，包括但不限于检测报告或宣传彩页或产品说明书等，否则不得分。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安全方案</w:t>
            </w:r>
          </w:p>
        </w:tc>
        <w:tc>
          <w:tcPr>
            <w:tcW w:type="dxa" w:w="2492"/>
          </w:tcPr>
          <w:p>
            <w:pPr>
              <w:pStyle w:val="null3"/>
            </w:pPr>
            <w:r>
              <w:rPr>
                <w:rFonts w:ascii="仿宋_GB2312" w:hAnsi="仿宋_GB2312" w:cs="仿宋_GB2312" w:eastAsia="仿宋_GB2312"/>
              </w:rPr>
              <w:t>一、评审内容：供应商针对本项目编制完整的安全方案，内容包含但不限于：①安全管理制度； ②安全安装调试措施； ③安全应急预案。 二、评审标准： 1、完整性：方案必须全面，对评审内容中的各项要求有详细描述； 2、可实施性：切合本项目实际情况，提出步骤清晰、合理的方案； 3、针对性：方案能够紧扣项目实际情况，内容科学合理。 三、赋分标准（满分9分） ①安全管理制度：每完全满足一个评审标准得1分，满分3分； ②安全安装调试措施：每完全满足一个评审标准得1分，满分3分； ③安全应急预案：每完全满足一个评审标准得1分，满分3分； ④未提供者不得分。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进度方案</w:t>
            </w:r>
          </w:p>
        </w:tc>
        <w:tc>
          <w:tcPr>
            <w:tcW w:type="dxa" w:w="2492"/>
          </w:tcPr>
          <w:p>
            <w:pPr>
              <w:pStyle w:val="null3"/>
            </w:pPr>
            <w:r>
              <w:rPr>
                <w:rFonts w:ascii="仿宋_GB2312" w:hAnsi="仿宋_GB2312" w:cs="仿宋_GB2312" w:eastAsia="仿宋_GB2312"/>
              </w:rPr>
              <w:t>一、评审内容：供应商针对本项目编制完善的进度措施方案，内容包含但不限于：①整体进度计划方案；②整体进度计划保证与监控措施。 二、评审标准： 1、完整性：方案必须全面，对评审内容中的各项要求有详细描述； 2、可实施性：切合本项目实际情况，提出步骤清晰、合理的方案； 3、针对性：方案能够紧扣项目实际情况，内容科学合理。 三、赋分标准（满分6分）： ①整体进度计划方案：每完全满足一个评审标准得1分，满分3分； ②整体进度计划保证与监控措施：每完全满足一个评审标准得1分，满分3分； ③未提供者不得分。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质量保证措施方案</w:t>
            </w:r>
          </w:p>
        </w:tc>
        <w:tc>
          <w:tcPr>
            <w:tcW w:type="dxa" w:w="2492"/>
          </w:tcPr>
          <w:p>
            <w:pPr>
              <w:pStyle w:val="null3"/>
            </w:pPr>
            <w:r>
              <w:rPr>
                <w:rFonts w:ascii="仿宋_GB2312" w:hAnsi="仿宋_GB2312" w:cs="仿宋_GB2312" w:eastAsia="仿宋_GB2312"/>
              </w:rPr>
              <w:t>一、评审内容：供应商针对本项目编制完善的质量保证措施方案，内容包含但不限于：①确保质量的技术组织措施；②安装、配套工程整体质量控制措施。 二、评审标准： 1、完整性：方案必须全面，对评审内容中的各项要求有详细描述； 2、可实施性：切合本项目实际情况，提出步骤清晰、合理的方案； 3、针对性：方案能够紧扣项目实际情况，内容科学合理。 三、赋分标准（满分6分）： ①确保质量的技术组织措施：每完全满足一个评审标准得1分，满分3分； ②安装、配套工程整体质量控制措施：每完全满足一个评审标准得1分，满分3分； ③未提供者不得分。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一、评审内容：供应商针对本项目编制完善的安装调试方案，内容包含但不限于：①技术准备与资源配置；②安装工艺及方案；③调试流程方案。 二、评审标准： 1、完整性：方案必须全面，对评审内容中的各项要求有详细描述； 2、可实施性：切合本项目实际情况，提出步骤清晰、合理的方案； 3、针对性：方案能够紧扣项目实际情况，内容科学合理。 三、赋分标准（满分9分）： ①技术准备与资源配置：每完全满足一个评审标准得1分，满分3分； ②安装工艺及方案：每完全满足一个评审标准得1分，满分3分； ③调试流程方案：每完全满足一个评审标准得1分，满分3分； ④未提供者不得分。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售后方案</w:t>
            </w:r>
          </w:p>
        </w:tc>
        <w:tc>
          <w:tcPr>
            <w:tcW w:type="dxa" w:w="2492"/>
          </w:tcPr>
          <w:p>
            <w:pPr>
              <w:pStyle w:val="null3"/>
            </w:pPr>
            <w:r>
              <w:rPr>
                <w:rFonts w:ascii="仿宋_GB2312" w:hAnsi="仿宋_GB2312" w:cs="仿宋_GB2312" w:eastAsia="仿宋_GB2312"/>
              </w:rPr>
              <w:t>一、评审内容：供应商针对本项目编制完善的售后方案，内容包含但不限于：①售后服务承诺；②备品备件及专用耗材保障；③质保期间的响应保障；④售后服务网点。 二、评审标准： 1、完整性：方案必须全面，对评审内容中的各项要求有详细描述； 2、可实施性：切合本项目实际情况，提出步骤清晰、合理的方案； 3、针对性：方案能够紧扣项目实际情况，内容科学合理。 三、赋分标准（满分6分）： ①售后服务承诺：每完全满足一个评审标准得0.5分，满分1.5分； ②备品备件及专用耗材保障：每完全满足一个评审标准得0.5分，满分1.5分； ③质保期间的响应保障：每完全满足一个评审标准得0.5分，满分1.5分； ④售后服务网点：每完全满足一个评审标准得0.5分，满分1.5分； ⑤未提供者不得分。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一、评审内容：供应商针对本项目编制完善的培训方案，内容包含但不限于：①培训目标、内容；②培训方式、周期。 二、评审标准： 1、完整性：方案必须全面，对评审内容中的各项要求有详细描述； 2、可实施性：切合本项目实际情况，提出步骤清晰、合理的方案； 3、针对性：方案能够紧扣项目实际情况，内容科学合理。 三、赋分标准（满分6分）： ①培训目标、内容：每完全满足一个评审标准得1分，满分3分； ②培训方式、周期：每完全满足一个评审标准得1分，满分3分； ③未提供者不得分。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1、上限为采购预算价和最高限价，即报价大于上限价视为无效标； 2、以满足本次招标文件要求的最低报价为评审基准价，其价格为满分； 3、其他供应商报价得分=[评审基准价/最后磋商报价]×30%×100。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详见附件：类似项目业绩.docx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详见附件：政府采购合同格式（货物）公开招标.docx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