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版本号：ZQX-ZC2026032420260407002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镇巴县粮食购销有限责任公司粮食绿色仓储提升改造项目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ZQX-ZC20260324</w:t>
      </w:r>
      <w:r>
        <w:br/>
      </w:r>
      <w:r>
        <w:br/>
      </w:r>
      <w:r>
        <w:br/>
      </w:r>
    </w:p>
    <w:p>
      <w:pPr>
        <w:pStyle w:val="null3"/>
        <w:jc w:val="center"/>
        <w:outlineLvl w:val="2"/>
      </w:pPr>
      <w:r>
        <w:rPr>
          <w:rFonts w:ascii="仿宋_GB2312" w:hAnsi="仿宋_GB2312" w:cs="仿宋_GB2312" w:eastAsia="仿宋_GB2312"/>
          <w:sz w:val="28"/>
          <w:b/>
        </w:rPr>
        <w:t>镇巴县发展和改革局</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镇巴县发展和改革局</w:t>
      </w:r>
      <w:r>
        <w:rPr>
          <w:rFonts w:ascii="仿宋_GB2312" w:hAnsi="仿宋_GB2312" w:cs="仿宋_GB2312" w:eastAsia="仿宋_GB2312"/>
        </w:rPr>
        <w:t>委托，拟对</w:t>
      </w:r>
      <w:r>
        <w:rPr>
          <w:rFonts w:ascii="仿宋_GB2312" w:hAnsi="仿宋_GB2312" w:cs="仿宋_GB2312" w:eastAsia="仿宋_GB2312"/>
        </w:rPr>
        <w:t>镇巴县粮食购销有限责任公司粮食绿色仓储提升改造项目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ZQX-ZC20260324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镇巴县粮食购销有限责任公司粮食绿色仓储提升改造项目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实施仓容9700吨的粮食仓储绿色提升改造，包括仓房屋面防水及反光处理3168平方米，外墙防水及反光处理3213平方米，门窗气密性改造146.6平方米，试验室改造25.7平米，仓内地面及室外散水处理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采购包1（镇巴县粮食购销有限责任公司粮食绿色仓储提升改造项目）：属于专门面向中小企业采购。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镇巴县发展和改革局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县政府大院内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镇巴县发展和改革局经办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15289269595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陕西省西安市雁塔区南二环路西段88号老三届世纪星大度15E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19992705815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采购包1：1,397,297.26元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开户名称：中启信项目咨询有限公司</w:t>
            </w:r>
          </w:p>
          <w:p>
            <w:pPr>
              <w:pStyle w:val="null3"/>
            </w:pPr>
            <w:r>
              <w:rPr>
                <w:rFonts w:ascii="仿宋_GB2312" w:hAnsi="仿宋_GB2312" w:cs="仿宋_GB2312" w:eastAsia="仿宋_GB2312"/>
              </w:rPr>
              <w:t>开户银行：中国建设银行股份有限公司西安兴庆路支行</w:t>
            </w:r>
          </w:p>
          <w:p>
            <w:pPr>
              <w:pStyle w:val="null3"/>
            </w:pPr>
            <w:r>
              <w:rPr>
                <w:rFonts w:ascii="仿宋_GB2312" w:hAnsi="仿宋_GB2312" w:cs="仿宋_GB2312" w:eastAsia="仿宋_GB2312"/>
              </w:rPr>
              <w:t>银行账号：6105 0173 0012 0000 2516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镇巴县发展和改革局</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镇巴县发展和改革局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镇巴县发展和改革局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联系人：张茜</w:t>
      </w:r>
    </w:p>
    <w:p>
      <w:pPr>
        <w:pStyle w:val="null3"/>
      </w:pPr>
      <w:r>
        <w:rPr>
          <w:rFonts w:ascii="仿宋_GB2312" w:hAnsi="仿宋_GB2312" w:cs="仿宋_GB2312" w:eastAsia="仿宋_GB2312"/>
        </w:rPr>
        <w:t>联系电话：19992705815</w:t>
      </w:r>
    </w:p>
    <w:p>
      <w:pPr>
        <w:pStyle w:val="null3"/>
      </w:pPr>
      <w:r>
        <w:rPr>
          <w:rFonts w:ascii="仿宋_GB2312" w:hAnsi="仿宋_GB2312" w:cs="仿宋_GB2312" w:eastAsia="仿宋_GB2312"/>
        </w:rPr>
        <w:t>地址：陕西省西安市雁塔区南二环路西段88号老三届世纪星大度15E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1,397,297.26</w:t>
      </w:r>
    </w:p>
    <w:p>
      <w:pPr>
        <w:pStyle w:val="null3"/>
      </w:pPr>
      <w:r>
        <w:rPr>
          <w:rFonts w:ascii="仿宋_GB2312" w:hAnsi="仿宋_GB2312" w:cs="仿宋_GB2312" w:eastAsia="仿宋_GB2312"/>
        </w:rPr>
        <w:t>采购包最高限价（元）: 1,397,297.26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镇巴县粮食购销有限责任公司粮食绿色仓储提升改造项目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1,397,297.26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标的名称：镇巴县粮食购销有限责任公司粮食绿色仓储提升改造项目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p>
          <w:p>
            <w:pPr>
              <w:pStyle w:val="null3"/>
              <w:ind w:firstLine="420"/>
              <w:jc w:val="both"/>
            </w:pPr>
            <w:r>
              <w:rPr>
                <w:rFonts w:ascii="仿宋_GB2312" w:hAnsi="仿宋_GB2312" w:cs="仿宋_GB2312" w:eastAsia="仿宋_GB2312"/>
                <w:sz w:val="21"/>
              </w:rPr>
              <w:t>该项目建设地点位于</w:t>
            </w:r>
            <w:r>
              <w:rPr>
                <w:rFonts w:ascii="仿宋_GB2312" w:hAnsi="仿宋_GB2312" w:cs="仿宋_GB2312" w:eastAsia="仿宋_GB2312"/>
                <w:sz w:val="21"/>
              </w:rPr>
              <w:t>汉中市镇巴县小洋镇绿色产业园</w:t>
            </w:r>
            <w:r>
              <w:rPr>
                <w:rFonts w:ascii="仿宋_GB2312" w:hAnsi="仿宋_GB2312" w:cs="仿宋_GB2312" w:eastAsia="仿宋_GB2312"/>
                <w:sz w:val="21"/>
              </w:rPr>
              <w:t>，主要建设内容：</w:t>
            </w:r>
            <w:r>
              <w:rPr>
                <w:rFonts w:ascii="仿宋_GB2312" w:hAnsi="仿宋_GB2312" w:cs="仿宋_GB2312" w:eastAsia="仿宋_GB2312"/>
                <w:sz w:val="21"/>
              </w:rPr>
              <w:t>实施仓容</w:t>
            </w:r>
            <w:r>
              <w:rPr>
                <w:rFonts w:ascii="仿宋_GB2312" w:hAnsi="仿宋_GB2312" w:cs="仿宋_GB2312" w:eastAsia="仿宋_GB2312"/>
                <w:sz w:val="21"/>
              </w:rPr>
              <w:t>9700吨的粮食仓储绿色提升改造，包括仓房屋面防水及反光处理3168平方米，外墙防水及反光处理3213平方米，门窗气密性改造146.6平方米，试验室改造25.7平米，仓内地面及室外散水处理等</w:t>
            </w:r>
            <w:r>
              <w:rPr>
                <w:rFonts w:ascii="仿宋_GB2312" w:hAnsi="仿宋_GB2312" w:cs="仿宋_GB2312" w:eastAsia="仿宋_GB2312"/>
                <w:sz w:val="21"/>
              </w:rPr>
              <w:t>；具体内容详见工程量清单。</w:t>
            </w:r>
          </w:p>
          <w:p>
            <w:pPr>
              <w:pStyle w:val="null3"/>
            </w:pPr>
            <w:r>
              <w:rPr>
                <w:rFonts w:ascii="仿宋_GB2312" w:hAnsi="仿宋_GB2312" w:cs="仿宋_GB2312" w:eastAsia="仿宋_GB2312"/>
                <w:sz w:val="21"/>
              </w:rPr>
              <w:t>二、问题说明</w:t>
            </w:r>
          </w:p>
          <w:p>
            <w:pPr>
              <w:pStyle w:val="null3"/>
              <w:ind w:firstLine="420"/>
              <w:jc w:val="both"/>
            </w:pPr>
            <w:r>
              <w:rPr>
                <w:rFonts w:ascii="仿宋_GB2312" w:hAnsi="仿宋_GB2312" w:cs="仿宋_GB2312" w:eastAsia="仿宋_GB2312"/>
                <w:sz w:val="21"/>
              </w:rPr>
              <w:t>本次发包范围不包含设备安装。</w:t>
            </w:r>
          </w:p>
          <w:p>
            <w:pPr>
              <w:pStyle w:val="null3"/>
              <w:ind w:firstLine="420"/>
              <w:jc w:val="both"/>
            </w:pPr>
            <w:r>
              <w:rPr>
                <w:rFonts w:ascii="仿宋_GB2312" w:hAnsi="仿宋_GB2312" w:cs="仿宋_GB2312" w:eastAsia="仿宋_GB2312"/>
                <w:sz w:val="21"/>
              </w:rPr>
              <w:t>1、余方弃置暂按5km计入;</w:t>
            </w:r>
          </w:p>
          <w:p>
            <w:pPr>
              <w:pStyle w:val="null3"/>
              <w:ind w:firstLine="420"/>
              <w:jc w:val="both"/>
            </w:pPr>
            <w:r>
              <w:rPr>
                <w:rFonts w:ascii="仿宋_GB2312" w:hAnsi="仿宋_GB2312" w:cs="仿宋_GB2312" w:eastAsia="仿宋_GB2312"/>
                <w:sz w:val="21"/>
              </w:rPr>
              <w:t>2、成品台式带柜清洗台综合单价暂按1000元/个计入</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3、电气线路利用原有配电箱。</w:t>
            </w:r>
          </w:p>
          <w:p>
            <w:pPr>
              <w:pStyle w:val="null3"/>
            </w:pPr>
            <w:r>
              <w:rPr>
                <w:rFonts w:ascii="仿宋_GB2312" w:hAnsi="仿宋_GB2312" w:cs="仿宋_GB2312" w:eastAsia="仿宋_GB2312"/>
                <w:sz w:val="21"/>
              </w:rPr>
              <w:t>三</w:t>
            </w:r>
            <w:r>
              <w:rPr>
                <w:rFonts w:ascii="仿宋_GB2312" w:hAnsi="仿宋_GB2312" w:cs="仿宋_GB2312" w:eastAsia="仿宋_GB2312"/>
                <w:sz w:val="21"/>
              </w:rPr>
              <w:t>、编制依据：</w:t>
            </w:r>
          </w:p>
          <w:p>
            <w:pPr>
              <w:pStyle w:val="null3"/>
              <w:ind w:firstLine="420"/>
              <w:jc w:val="both"/>
            </w:pPr>
            <w:r>
              <w:rPr>
                <w:rFonts w:ascii="仿宋_GB2312" w:hAnsi="仿宋_GB2312" w:cs="仿宋_GB2312" w:eastAsia="仿宋_GB2312"/>
                <w:sz w:val="21"/>
              </w:rPr>
              <w:t>1、《陕西省住房和城乡建设厅关于印发2025陕西省建设工程费用规则等计价依据的通知》陕建管发(2025)10号文</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2、由中联宏信勘察设计有限公司设计的镇巴县粮食购销有限责任公司粮食绿色仓储提升改造项目施工图设计文件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3、与本工程相关的标准、规范等技术资料</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4、《陕西省建设工程费用规则》(2025)、《建设工程工程量清单计价标准》(2025)、《通用安装工程工程量计算标准》及其配套文件</w:t>
            </w:r>
            <w:r>
              <w:rPr>
                <w:rFonts w:ascii="仿宋_GB2312" w:hAnsi="仿宋_GB2312" w:cs="仿宋_GB2312" w:eastAsia="仿宋_GB2312"/>
                <w:sz w:val="21"/>
              </w:rPr>
              <w:t>；</w:t>
            </w:r>
            <w:r>
              <w:rPr>
                <w:rFonts w:ascii="仿宋_GB2312" w:hAnsi="仿宋_GB2312" w:cs="仿宋_GB2312" w:eastAsia="仿宋_GB2312"/>
                <w:sz w:val="21"/>
              </w:rPr>
              <w:t>《陕西省通用安装工程消耗量定额》</w:t>
            </w:r>
            <w:r>
              <w:rPr>
                <w:rFonts w:ascii="仿宋_GB2312" w:hAnsi="仿宋_GB2312" w:cs="仿宋_GB2312" w:eastAsia="仿宋_GB2312"/>
                <w:sz w:val="21"/>
              </w:rPr>
              <w:t>(2025)、《陕西省建设工程施工机械台班费用定额》(2025)</w:t>
            </w:r>
            <w:r>
              <w:rPr>
                <w:rFonts w:ascii="仿宋_GB2312" w:hAnsi="仿宋_GB2312" w:cs="仿宋_GB2312" w:eastAsia="仿宋_GB2312"/>
                <w:sz w:val="21"/>
              </w:rPr>
              <w:t>；</w:t>
            </w:r>
            <w:r>
              <w:rPr>
                <w:rFonts w:ascii="仿宋_GB2312" w:hAnsi="仿宋_GB2312" w:cs="仿宋_GB2312" w:eastAsia="仿宋_GB2312"/>
                <w:sz w:val="21"/>
              </w:rPr>
              <w:t>《陕西省通用安装工程基价表》</w:t>
            </w:r>
            <w:r>
              <w:rPr>
                <w:rFonts w:ascii="仿宋_GB2312" w:hAnsi="仿宋_GB2312" w:cs="仿宋_GB2312" w:eastAsia="仿宋_GB2312"/>
                <w:sz w:val="21"/>
              </w:rPr>
              <w:t>(2025)</w:t>
            </w:r>
          </w:p>
          <w:p>
            <w:pPr>
              <w:pStyle w:val="null3"/>
              <w:ind w:firstLine="420"/>
              <w:jc w:val="both"/>
            </w:pPr>
            <w:r>
              <w:rPr>
                <w:rFonts w:ascii="仿宋_GB2312" w:hAnsi="仿宋_GB2312" w:cs="仿宋_GB2312" w:eastAsia="仿宋_GB2312"/>
                <w:sz w:val="21"/>
              </w:rPr>
              <w:t>5、主要材料价格按照汉中市工程造价管理办公室发布的《汉中建设工程造价信息》2025年第12期材料价格及当前市场价计入</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6、使用广联达计价软件GCCP7.0编制。</w:t>
            </w:r>
          </w:p>
          <w:p>
            <w:pPr>
              <w:pStyle w:val="null3"/>
            </w:pPr>
            <w:r>
              <w:rPr>
                <w:rFonts w:ascii="仿宋_GB2312" w:hAnsi="仿宋_GB2312" w:cs="仿宋_GB2312" w:eastAsia="仿宋_GB2312"/>
                <w:sz w:val="21"/>
              </w:rPr>
              <w:t>三、工期：</w:t>
            </w:r>
            <w:r>
              <w:rPr>
                <w:rFonts w:ascii="仿宋_GB2312" w:hAnsi="仿宋_GB2312" w:cs="仿宋_GB2312" w:eastAsia="仿宋_GB2312"/>
                <w:sz w:val="21"/>
              </w:rPr>
              <w:t>90</w:t>
            </w:r>
            <w:r>
              <w:rPr>
                <w:rFonts w:ascii="仿宋_GB2312" w:hAnsi="仿宋_GB2312" w:cs="仿宋_GB2312" w:eastAsia="仿宋_GB2312"/>
                <w:sz w:val="21"/>
              </w:rPr>
              <w:t>日历天。</w:t>
            </w:r>
          </w:p>
          <w:p>
            <w:pPr>
              <w:pStyle w:val="null3"/>
              <w:jc w:val="both"/>
            </w:pPr>
            <w:r>
              <w:rPr>
                <w:rFonts w:ascii="仿宋_GB2312" w:hAnsi="仿宋_GB2312" w:cs="仿宋_GB2312" w:eastAsia="仿宋_GB2312"/>
                <w:sz w:val="21"/>
              </w:rPr>
              <w:t>四、工程质量：合格。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1、工期：90日历天；2、质保期：1年。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响应文件签署、盖章均按招标文件要求签字、盖章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技术服务合同条款及其他商务要求应答表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响应文件未出现磋商文件、法律法规规定的无效响应情形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 响应人提供本项目施工方案，包括①施工方法（工艺）；②施工组织和施工程序；③现场平面布置；④技术组织措施。 二、赋分标准 1、完整性：方案内容完整全面，对上述各项内容均有描述，得4分；缺1项，得3.0分；缺2项，得2.0分；缺3项，得1.0分。 2、针对性：针对性强，得4分；针对性一般，得2.0分；缺乏针对性，得0分。 3、可实施性：可实施性强，得4.0分；可实施性一般，得2.0分；缺乏可实施性，得0分。 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响应人提供本项目施工进度计划，包括①施工进度计划横道图；②进度计划保证措施；③工期保证措施。 二、赋分标准 1、完整性：方案内容完整全面，对上述各项内容均有描述，得3分；缺1项，得2.0分；缺2项，得1.0分；缺3项，得0分。 2、针对性：针对性强，得3分；针对性一般，得1.5分；缺乏针对性，得0分。 3、可实施性：可实施性强，得3.0分；可实施性一般，得1.5分；缺乏可实施性，得0分。 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响应人提供本项目质量保证措施，包括①工程质量目标；②施工质量保证措施；③施工质量管理与控制方案。 二、赋分标准 1、完整性：方案内容完整全面，对上述各项内容均有描述，得3分；缺1项，得2.0分；缺2项，得1.0分；缺3项，得0分。 2、针对性：针对性强，得3分；针对性一般，得1.5分；缺乏针对性，得0分。 3、可实施性：可实施性强，得3.0分；可实施性一般，得1.5分；缺乏可实施性，得0分。 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响应人提供本项目安全施工措施，包括①安全生产管理制度；②安全施工措施；③安全应急预案；④安全生产教育。 二、赋分标准 1、完整性：方案内容完整全面，对上述各项内容均有描述，得4分；缺1项，得3.0分；缺2项，得2.0分；缺3项，得1.0分。 2、针对性：针对性强，得4分；针对性一般，得2.0分；缺乏针对性，得0分。 3、可实施性：可实施性强，得4.0分；可实施性一般，得2.0分；缺乏可实施性，得0分。 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响应人提供本项目文明施工及环境保护措施，包括①文明施工管理目标及技术措施；②文明施工现场管理；③环境保护管理体系；④环保控制措施。 二、赋分标准 1、完整性：方案内容完整全面，对上述各项内容均有描述，得4分；缺1项，得3.0分；缺2项，得2.0分；缺3项，得1.0分。 2、针对性：针对性强，得4分；针对性一般，得2.0分；缺乏针对性，得0分。 3、可实施性：可实施性强，得4.0分；可实施性一般，得2.0分；缺乏可实施性，得0分。 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针对本项目提供具体人员配置清单（技术负责人、施工员、质量员、安全员、材料员、资料员），包含：具体成员身份证、职称（职业资格证书）、岗位证书、社保缴纳证明。提供以上清单中所有内容得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注：业绩须提供中标通知书或施工合同（协议书）复印件并加盖单位公章。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响应人提供本项目的保修方案，包括①维修措施；②保修责任；③保修承诺。 二、赋分标准 1、完整性：方案内容完整全面，对上述各项内容均有描述，得2分；缺1项，得1.5分；缺2项，得1分；缺3项，得0分。 2、针对性：针对性强，得2分；针对性一般得1分；缺乏针对性，得0分。 3、可实施性：可实施性强，得2分；可实施性一般，得1分；缺乏可实施性，得0分。 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