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版本号：ZCZB2026-GC00420260402002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镇巴县生活垃圾分类收转运体系建设项目设计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ZCZB2026-GC004</w:t>
      </w:r>
      <w:r>
        <w:br/>
      </w:r>
      <w:r>
        <w:br/>
      </w:r>
      <w:r>
        <w:br/>
      </w:r>
    </w:p>
    <w:p>
      <w:pPr>
        <w:pStyle w:val="null3"/>
        <w:jc w:val="center"/>
        <w:outlineLvl w:val="2"/>
      </w:pPr>
      <w:r>
        <w:rPr>
          <w:rFonts w:ascii="仿宋_GB2312" w:hAnsi="仿宋_GB2312" w:cs="仿宋_GB2312" w:eastAsia="仿宋_GB2312"/>
          <w:sz w:val="28"/>
          <w:b/>
        </w:rPr>
        <w:t>镇巴县村镇建设管理站</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镇巴县村镇建设管理站</w:t>
      </w:r>
      <w:r>
        <w:rPr>
          <w:rFonts w:ascii="仿宋_GB2312" w:hAnsi="仿宋_GB2312" w:cs="仿宋_GB2312" w:eastAsia="仿宋_GB2312"/>
        </w:rPr>
        <w:t>委托，拟对</w:t>
      </w:r>
      <w:r>
        <w:rPr>
          <w:rFonts w:ascii="仿宋_GB2312" w:hAnsi="仿宋_GB2312" w:cs="仿宋_GB2312" w:eastAsia="仿宋_GB2312"/>
        </w:rPr>
        <w:t>镇巴县生活垃圾分类收转运体系建设项目设计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ZCZB2026-GC004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镇巴县生活垃圾分类收转运体系建设项目设计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1.1项目名称 镇巴县生活垃圾分类收转运体系建设项目设计 1.2 项目建设目标和任务 （1）建设目标：通过垃圾分类规划和科学的转运设施建设，提高垃圾分类效率，改善镇巴县环境卫生。项目建成后，将实现服务区域内生活垃圾分类设备设施覆盖率达到 100%，城镇生活垃圾转运率达到 100%。 （2）建设任务：完善镇巴生活垃圾分类收集、分类转运设施，含生活垃圾分类投放容器、垃圾分类亭、垃圾分类收集车辆等。建设生活垃圾转运站建设，服务城镇生活垃圾的压缩转运。 1.3 建设地点 汉中市镇巴县泾洋街道办、渔渡镇、盐场镇、观音镇、巴庙镇、长岭镇、简池镇、碾子镇、小洋镇、青水镇、赤南镇、平安镇、杨家河镇、巴山镇、黎坝镇、仁村镇、大池镇、永乐镇。 1.4 建设内容和规模：对镇巴县城镇生活垃圾进行分类、收转运，新建17座生活垃圾中转站，总处理规模180t/d，新建生活垃圾分拣中心1座，处理规模36t/d，配套完善分类垃圾桶、垃圾亭、垃圾收集运输车、小型电动环卫垃圾收集车以及垃圾转运车等设施。 1.2.本次采购内容为镇巴县生活垃圾分类收转运体系建设项目设计工作，应根据国家及相关行业规范、标准，开展设计工作。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采购包1（镇巴县生活垃圾分类收转运体系建设项目设计）：属于专门面向中小企业采购。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法定代表人或委托代理人身份证明：法定代表人参加投标须提供&lt;&lt;法定代表人身份证明&gt;&gt;及身份证复印件;法定代表人授权他人参加投标，须提供&lt;&lt;法定代表人授权委托书&gt;&gt;、委托代理人身份证复印件。(材料应清晰可辨并进行电子签章)</w:t>
      </w:r>
    </w:p>
    <w:p>
      <w:pPr>
        <w:pStyle w:val="null3"/>
      </w:pPr>
      <w:r>
        <w:rPr>
          <w:rFonts w:ascii="仿宋_GB2312" w:hAnsi="仿宋_GB2312" w:cs="仿宋_GB2312" w:eastAsia="仿宋_GB2312"/>
        </w:rPr>
        <w:t>3、供应商资质：供应商应具备建设行政主管部门核发的工程设计综合甲级资质或市政行业工程设计乙级及以上资质或环境工程（固体废物处理处置工程）专项乙级及以上资质，且资质证书在有效期内(材料应清晰可辨并进行电子签章)</w:t>
      </w:r>
    </w:p>
    <w:p>
      <w:pPr>
        <w:pStyle w:val="null3"/>
      </w:pPr>
      <w:r>
        <w:rPr>
          <w:rFonts w:ascii="仿宋_GB2312" w:hAnsi="仿宋_GB2312" w:cs="仿宋_GB2312" w:eastAsia="仿宋_GB2312"/>
        </w:rPr>
        <w:t>4、拟派项目负责人：拟派项目负责人需具备市政工程/环境工程相关专业中级工程师及以上职称。在本单位注册，提供近6个月社保缴纳证明。(材料应清晰可辨并进行电子签章)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须提供&lt;&lt;汉中市政府采购供应商资格承诺函&gt;&gt;。(材料应清晰可辨并进行电子签章)</w:t>
      </w:r>
    </w:p>
    <w:p>
      <w:pPr>
        <w:pStyle w:val="null3"/>
      </w:pPr>
      <w:r>
        <w:rPr>
          <w:rFonts w:ascii="仿宋_GB2312" w:hAnsi="仿宋_GB2312" w:cs="仿宋_GB2312" w:eastAsia="仿宋_GB2312"/>
        </w:rPr>
        <w:t>6、非联合体投标：本项目不接受联合体投标(提供非联合体声明函)。(材料应清晰可辨并进行电子签章)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镇巴县村镇建设管理站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镇巴县河滨西路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18991613856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南郑区大河坎镇臻华府东门 21—118 号商铺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侯喜萍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0916-5377888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开户名称：陕西中采项目管理有限公司第二分公司</w:t>
            </w:r>
          </w:p>
          <w:p>
            <w:pPr>
              <w:pStyle w:val="null3"/>
            </w:pPr>
            <w:r>
              <w:rPr>
                <w:rFonts w:ascii="仿宋_GB2312" w:hAnsi="仿宋_GB2312" w:cs="仿宋_GB2312" w:eastAsia="仿宋_GB2312"/>
              </w:rPr>
              <w:t>开户银行：中国建设银行股份有限公司汉中经济开发区支行</w:t>
            </w:r>
          </w:p>
          <w:p>
            <w:pPr>
              <w:pStyle w:val="null3"/>
            </w:pPr>
            <w:r>
              <w:rPr>
                <w:rFonts w:ascii="仿宋_GB2312" w:hAnsi="仿宋_GB2312" w:cs="仿宋_GB2312" w:eastAsia="仿宋_GB2312"/>
              </w:rPr>
              <w:t>银行账号：61050110066800000943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镇巴县村镇建设管理站</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镇巴县村镇建设管理站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镇巴县村镇建设管理站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联系人：陕西中采项目管理有限公司</w:t>
      </w:r>
    </w:p>
    <w:p>
      <w:pPr>
        <w:pStyle w:val="null3"/>
      </w:pPr>
      <w:r>
        <w:rPr>
          <w:rFonts w:ascii="仿宋_GB2312" w:hAnsi="仿宋_GB2312" w:cs="仿宋_GB2312" w:eastAsia="仿宋_GB2312"/>
        </w:rPr>
        <w:t>联系电话：0916-5377888</w:t>
      </w:r>
    </w:p>
    <w:p>
      <w:pPr>
        <w:pStyle w:val="null3"/>
      </w:pPr>
      <w:r>
        <w:rPr>
          <w:rFonts w:ascii="仿宋_GB2312" w:hAnsi="仿宋_GB2312" w:cs="仿宋_GB2312" w:eastAsia="仿宋_GB2312"/>
        </w:rPr>
        <w:t>地址：南郑区大河坎镇臻华府东门 21—118 号商铺</w:t>
      </w:r>
    </w:p>
    <w:p>
      <w:pPr>
        <w:pStyle w:val="null3"/>
      </w:pPr>
      <w:r>
        <w:rPr>
          <w:rFonts w:ascii="仿宋_GB2312" w:hAnsi="仿宋_GB2312" w:cs="仿宋_GB2312" w:eastAsia="仿宋_GB2312"/>
        </w:rPr>
        <w:t>邮编：723102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1.1项目名称 镇巴县生活垃圾分类收转运体系建设项目设计 1.2 项目建设目标和任务 （1）建设目标：通过垃圾分类规划和科学的转运设施建设，提高垃圾分类效率，改善镇巴县环境卫生。项目建成后，将实现服务区域内生活垃圾分类设备设施覆盖率达到 100%，城镇生活垃圾转运率达到 100%。 （2）建设任务：完善镇巴生活垃圾分类收集、分类转运设施，含生活垃圾分类投放容器、垃圾分类亭、垃圾分类收集车辆等。建设生活垃圾转运站建设，服务城镇生活垃圾的压缩转运。 1.3 建设地点 汉中市镇巴县泾洋街道办、渔渡镇、盐场镇、观音镇、巴庙镇、长岭镇、简池镇、碾子镇、小洋镇、青水镇、赤南镇、平安镇、杨家河镇、巴山镇、黎坝镇、仁村镇、大池镇、永乐镇。 1.4 建设内容和规模：对镇巴县城镇生活垃圾进行分类、收转运，新建17座生活垃圾中转站，总处理规模180t/d，新建生活垃圾分拣中心1座，处理规模36t/d，配套完善分类垃圾桶、垃圾亭、垃圾收集运输车、小型电动环卫垃圾收集车以及垃圾转运车等设施。 1.2.本次采购内容为镇巴县生活垃圾分类收转运体系建设项目设计工作，应根据国家及相关行业规范、标准，开展设计工作。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900000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标的名称：900000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rPr>
              <w:t>一</w:t>
            </w:r>
            <w:r>
              <w:rPr>
                <w:rFonts w:ascii="仿宋_GB2312" w:hAnsi="仿宋_GB2312" w:cs="仿宋_GB2312" w:eastAsia="仿宋_GB2312"/>
                <w:sz w:val="22"/>
              </w:rPr>
              <w:t>、项目概况：</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项目名称</w:t>
            </w:r>
            <w:r>
              <w:rPr>
                <w:rFonts w:ascii="仿宋_GB2312" w:hAnsi="仿宋_GB2312" w:cs="仿宋_GB2312" w:eastAsia="仿宋_GB2312"/>
                <w:sz w:val="21"/>
              </w:rPr>
              <w:t>镇巴县生活垃圾分类收转运体系建设项目设计</w:t>
            </w:r>
            <w:r>
              <w:rPr>
                <w:rFonts w:ascii="仿宋_GB2312" w:hAnsi="仿宋_GB2312" w:cs="仿宋_GB2312" w:eastAsia="仿宋_GB2312"/>
                <w:sz w:val="21"/>
              </w:rPr>
              <w:t>；</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项目建设目标和任务</w:t>
            </w:r>
            <w:r>
              <w:rPr>
                <w:rFonts w:ascii="仿宋_GB2312" w:hAnsi="仿宋_GB2312" w:cs="仿宋_GB2312" w:eastAsia="仿宋_GB2312"/>
                <w:sz w:val="21"/>
              </w:rPr>
              <w:t>（</w:t>
            </w:r>
            <w:r>
              <w:rPr>
                <w:rFonts w:ascii="仿宋_GB2312" w:hAnsi="仿宋_GB2312" w:cs="仿宋_GB2312" w:eastAsia="仿宋_GB2312"/>
                <w:sz w:val="21"/>
              </w:rPr>
              <w:t>1）建设目标：通过垃圾分类规划和科学的转运设施建设，提高垃圾分类效率，改善镇巴县环境卫生。项目建成后，将实现服务区域内生活垃圾分类设备设施覆盖率达到 100%，城镇生活垃圾转运率达到 100%。 （2）建设任务：完善镇巴生活垃圾分类收集、分类转运设施，含生活垃圾分类投放容器、垃圾分类亭、垃圾分类收集车辆等。建设生活垃圾转运站建设，服务城镇生活垃圾的压缩转运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建设地点</w:t>
            </w:r>
            <w:r>
              <w:rPr>
                <w:rFonts w:ascii="仿宋_GB2312" w:hAnsi="仿宋_GB2312" w:cs="仿宋_GB2312" w:eastAsia="仿宋_GB2312"/>
                <w:sz w:val="21"/>
              </w:rPr>
              <w:t>汉中市镇巴县泾洋街道办、渔渡镇、盐场镇、观音镇、巴庙镇、长岭镇、简池镇、碾子镇、小洋镇、青水镇、赤南镇、平安镇、杨家河镇、巴山镇、黎坝镇、仁村镇、大池镇、永乐镇</w:t>
            </w:r>
            <w:r>
              <w:rPr>
                <w:rFonts w:ascii="仿宋_GB2312" w:hAnsi="仿宋_GB2312" w:cs="仿宋_GB2312" w:eastAsia="仿宋_GB2312"/>
                <w:sz w:val="21"/>
              </w:rPr>
              <w:t>；</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建设内容和规模：对镇巴县城镇生活垃圾进行分类、收转运，新建</w:t>
            </w:r>
            <w:r>
              <w:rPr>
                <w:rFonts w:ascii="仿宋_GB2312" w:hAnsi="仿宋_GB2312" w:cs="仿宋_GB2312" w:eastAsia="仿宋_GB2312"/>
                <w:sz w:val="21"/>
              </w:rPr>
              <w:t>17座生活垃圾中转站，总处理规模180t/d，新建生活垃圾分拣中心1座，处理规模36t/d，配套完善分类垃圾桶、垃圾亭、垃圾收集运输车、小型电动环卫垃圾收集车以及垃圾转运车等设施。</w:t>
            </w:r>
          </w:p>
          <w:p>
            <w:pPr>
              <w:pStyle w:val="null3"/>
              <w:spacing w:before="105" w:after="105"/>
              <w:jc w:val="both"/>
            </w:pPr>
            <w:r>
              <w:rPr>
                <w:rFonts w:ascii="仿宋_GB2312" w:hAnsi="仿宋_GB2312" w:cs="仿宋_GB2312" w:eastAsia="仿宋_GB2312"/>
                <w:sz w:val="20"/>
              </w:rPr>
              <w:t>二</w:t>
            </w:r>
            <w:r>
              <w:rPr>
                <w:rFonts w:ascii="仿宋_GB2312" w:hAnsi="仿宋_GB2312" w:cs="仿宋_GB2312" w:eastAsia="仿宋_GB2312"/>
                <w:sz w:val="20"/>
              </w:rPr>
              <w:t>、本次采购内容为镇巴县生活垃圾分类收转运体系建设项目设计工作，</w:t>
            </w:r>
            <w:r>
              <w:rPr>
                <w:rFonts w:ascii="仿宋_GB2312" w:hAnsi="仿宋_GB2312" w:cs="仿宋_GB2312" w:eastAsia="仿宋_GB2312"/>
                <w:sz w:val="20"/>
              </w:rPr>
              <w:t>(含初步设计及施工图设计)，应根据国家及相关行业规范、标准，开展设计工作。</w:t>
            </w:r>
          </w:p>
          <w:p>
            <w:pPr>
              <w:pStyle w:val="null3"/>
            </w:pPr>
            <w:r>
              <w:rPr>
                <w:rFonts w:ascii="仿宋_GB2312" w:hAnsi="仿宋_GB2312" w:cs="仿宋_GB2312" w:eastAsia="仿宋_GB2312"/>
                <w:sz w:val="20"/>
              </w:rPr>
              <w:t>三</w:t>
            </w:r>
            <w:r>
              <w:rPr>
                <w:rFonts w:ascii="仿宋_GB2312" w:hAnsi="仿宋_GB2312" w:cs="仿宋_GB2312" w:eastAsia="仿宋_GB2312"/>
                <w:sz w:val="20"/>
              </w:rPr>
              <w:t>、技术要求</w:t>
            </w:r>
          </w:p>
          <w:p>
            <w:pPr>
              <w:pStyle w:val="null3"/>
            </w:pPr>
            <w:r>
              <w:rPr>
                <w:rFonts w:ascii="仿宋_GB2312" w:hAnsi="仿宋_GB2312" w:cs="仿宋_GB2312" w:eastAsia="仿宋_GB2312"/>
                <w:sz w:val="20"/>
              </w:rPr>
              <w:t>1、设计理念先进；</w:t>
            </w:r>
          </w:p>
          <w:p>
            <w:pPr>
              <w:pStyle w:val="null3"/>
            </w:pPr>
            <w:r>
              <w:rPr>
                <w:rFonts w:ascii="仿宋_GB2312" w:hAnsi="仿宋_GB2312" w:cs="仿宋_GB2312" w:eastAsia="仿宋_GB2312"/>
                <w:sz w:val="20"/>
              </w:rPr>
              <w:t>2、设计方案应充分与现场实际情况相符合，方案科学、合理；</w:t>
            </w:r>
          </w:p>
          <w:p>
            <w:pPr>
              <w:pStyle w:val="null3"/>
            </w:pPr>
            <w:r>
              <w:rPr>
                <w:rFonts w:ascii="仿宋_GB2312" w:hAnsi="仿宋_GB2312" w:cs="仿宋_GB2312" w:eastAsia="仿宋_GB2312"/>
                <w:sz w:val="20"/>
              </w:rPr>
              <w:t>3、各阶段服务成果应满足国家及地方现行规范规定及采购人要求</w:t>
            </w:r>
            <w:r>
              <w:rPr>
                <w:rFonts w:ascii="仿宋_GB2312" w:hAnsi="仿宋_GB2312" w:cs="仿宋_GB2312" w:eastAsia="仿宋_GB2312"/>
                <w:sz w:val="20"/>
              </w:rPr>
              <w:t>；</w:t>
            </w:r>
          </w:p>
          <w:p>
            <w:pPr>
              <w:pStyle w:val="null3"/>
            </w:pPr>
            <w:r>
              <w:rPr>
                <w:rFonts w:ascii="仿宋_GB2312" w:hAnsi="仿宋_GB2312" w:cs="仿宋_GB2312" w:eastAsia="仿宋_GB2312"/>
                <w:sz w:val="20"/>
              </w:rPr>
              <w:t>4、适用规范标准</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4.1设计过程和成果必须符合国家有关工程建设标准强制性条文和现行的标准、规范、规程、定额、办法、示例以及招标项目所在地关于设计方面的文件、规定</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4.2供应商在设计工作中使用标准、规范以外的技术标准、规范时，应征得采购人的同意</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4.3设计过程中，如果国家或有关部门颁布了新的技术标准或规范，则投标供应商应采用新的标准或规范进行设计</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4.4供应商在设计工作中必须使用中华人民共和国《工程建设标准强制性条文》</w:t>
            </w:r>
            <w:r>
              <w:rPr>
                <w:rFonts w:ascii="仿宋_GB2312" w:hAnsi="仿宋_GB2312" w:cs="仿宋_GB2312" w:eastAsia="仿宋_GB2312"/>
                <w:sz w:val="20"/>
              </w:rPr>
              <w:t>；</w:t>
            </w:r>
          </w:p>
          <w:p>
            <w:pPr>
              <w:pStyle w:val="null3"/>
            </w:pPr>
            <w:r>
              <w:rPr>
                <w:rFonts w:ascii="仿宋_GB2312" w:hAnsi="仿宋_GB2312" w:cs="仿宋_GB2312" w:eastAsia="仿宋_GB2312"/>
                <w:sz w:val="20"/>
              </w:rPr>
              <w:t>5、</w:t>
            </w:r>
            <w:r>
              <w:rPr>
                <w:rFonts w:ascii="仿宋_GB2312" w:hAnsi="仿宋_GB2312" w:cs="仿宋_GB2312" w:eastAsia="仿宋_GB2312"/>
                <w:sz w:val="20"/>
              </w:rPr>
              <w:t>设计单位应具备相关资质并了解工程设计规范和相关法律法规，设计应充分考虑各镇选址的布置，材料选择和工程量计算等因素，并符合环保要求。</w:t>
            </w:r>
          </w:p>
          <w:p>
            <w:pPr>
              <w:pStyle w:val="null3"/>
            </w:pPr>
            <w:r>
              <w:rPr>
                <w:rFonts w:ascii="仿宋_GB2312" w:hAnsi="仿宋_GB2312" w:cs="仿宋_GB2312" w:eastAsia="仿宋_GB2312"/>
                <w:sz w:val="20"/>
              </w:rPr>
              <w:t>四</w:t>
            </w:r>
            <w:r>
              <w:rPr>
                <w:rFonts w:ascii="仿宋_GB2312" w:hAnsi="仿宋_GB2312" w:cs="仿宋_GB2312" w:eastAsia="仿宋_GB2312"/>
                <w:sz w:val="20"/>
              </w:rPr>
              <w:t>、成果交付要求</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1、设计服务：供应商必须自行完成本项目所需的设计服务，严禁转包、分包，拟派设计负责人应在服务周期内保持稳定</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2、总体规划设计方案：设计单位必须清楚了解设计范围及采购方功能定位、进度及造价控制等方面的相关要求；设计单位在概念设计阶段需对设计理念、构思、表现手法特点进行阐述；对空间功能、人流组织、平面布局等提供分析图、效果图；设计单位就概念设计方案提供相应的设计估算</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3.成果要求：方案设计和初步设计成果通过住建等相关部门审查</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4.成果提交：按照行业规范提交经采购人及相关部门审查通过的设计成果，提供审定后的相关报告及图纸纸质文件、电子文档，份数与采购人协商</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5.安全要求：本项目自签订合同之日起至服务完成之日止，供应商将负责该项目实施过程中的人身安全、财产安全等一切安全责任，在项目实施过程中造成的直接或间接损失，均由供应商自行承担；</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6.保密要求：成交供应商对本次服务内容应严格履行保密义务，不得未经采购人允许向第三方提供本项目的所有相关资料</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7.后续服务要求：成交供应商需在签订合同后，随时做好与本项目后续的承接工作。</w:t>
            </w:r>
          </w:p>
          <w:p>
            <w:pPr>
              <w:pStyle w:val="null3"/>
            </w:pPr>
            <w:r>
              <w:rPr>
                <w:rFonts w:ascii="仿宋_GB2312" w:hAnsi="仿宋_GB2312" w:cs="仿宋_GB2312" w:eastAsia="仿宋_GB2312"/>
                <w:sz w:val="20"/>
              </w:rPr>
              <w:t>五</w:t>
            </w:r>
            <w:r>
              <w:rPr>
                <w:rFonts w:ascii="仿宋_GB2312" w:hAnsi="仿宋_GB2312" w:cs="仿宋_GB2312" w:eastAsia="仿宋_GB2312"/>
                <w:sz w:val="20"/>
              </w:rPr>
              <w:t>、其他要求</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成交人未按合同要求履行，不符合采购技术要求，成交人必须无条件更换人员或设备，提高技术，完善质量，否则，采购人有权终止合同，并对成交人的违约行为进行追究并依法向成交人进行经济索赔。</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在签订合同20个日历日内提交项目设计成果并通过技术评审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符合招标文件、合同及达到国家及行业合格标准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最终成果通过验收并交付后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1.验收交付标准和方法：符合招标文件、合同及达到国家及行业合格标准 2.质量保修范围和保修期：全部设计成果，保修期自验收合格之日起不少于 1 年，质保期内免费提供技术咨询、设计修改服务。  3.其他合同条款：供应商全程配合项目审批、施工交底；未尽事宜签补充协议，合同一式陆份，双方签字盖章生效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lt;&lt;法定代表人身份证明&gt;&gt;及身份证复印件;法定代表人授权他人参加投标，须提供&lt;&lt;法定代表人授权委托书&gt;&gt;、委托代理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行政主管部门核发的工程设计综合甲级资质或市政行业工程设计乙级及以上资质或环境工程（固体废物处理处置工程）专项乙级及以上资质，且资质证书在有效期内(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拟派项目负责人需具备市政工程/环境工程相关专业中级工程师及以上职称。在本单位注册，提供近6个月社保缴纳证明。(材料应清晰可辨并进行电子签章)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lt;&lt;汉中市政府采购供应商资格承诺函&gt;&gt;。(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本项目不接受联合体投标(提供非联合体声明函)。(材料应清晰可辨并进行电子签章)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商务应答表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供应商认为需要提供的其他资料.docx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磋商总报价</w:t>
            </w:r>
          </w:p>
        </w:tc>
        <w:tc>
          <w:tcPr>
            <w:tcW w:type="dxa" w:w="3322"/>
          </w:tcPr>
          <w:p>
            <w:pPr>
              <w:pStyle w:val="null3"/>
            </w:pPr>
            <w:r>
              <w:rPr>
                <w:rFonts w:ascii="仿宋_GB2312" w:hAnsi="仿宋_GB2312" w:cs="仿宋_GB2312" w:eastAsia="仿宋_GB2312"/>
              </w:rPr>
              <w:t>每轮总报价唯一且未超过本项目最高限价</w:t>
            </w:r>
          </w:p>
        </w:tc>
        <w:tc>
          <w:tcPr>
            <w:tcW w:type="dxa" w:w="1661"/>
          </w:tcPr>
          <w:p>
            <w:pPr>
              <w:pStyle w:val="null3"/>
            </w:pPr>
            <w:r>
              <w:rPr>
                <w:rFonts w:ascii="仿宋_GB2312" w:hAnsi="仿宋_GB2312" w:cs="仿宋_GB2312" w:eastAsia="仿宋_GB2312"/>
              </w:rPr>
              <w:t>商务应答表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评审内容：①项目整体设计方案工作思路明确②设计依据符合规范③项目重点、难点把控④设计内容科学合理。评审标准：以上内容全面详细、目标明确、科学合理且完全符合本项目采购要求得20分。评审内容缺每一项扣5分,评审内容有缺陷（缺陷指内容明显错误、描述过于简单、与项目特点不匹配、凭空编造、逻辑漏洞、出现常识性错误或不适用本项目特性等）的扣2.5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工作实施方案</w:t>
            </w:r>
          </w:p>
        </w:tc>
        <w:tc>
          <w:tcPr>
            <w:tcW w:type="dxa" w:w="2492"/>
          </w:tcPr>
          <w:p>
            <w:pPr>
              <w:pStyle w:val="null3"/>
            </w:pPr>
            <w:r>
              <w:rPr>
                <w:rFonts w:ascii="仿宋_GB2312" w:hAnsi="仿宋_GB2312" w:cs="仿宋_GB2312" w:eastAsia="仿宋_GB2312"/>
              </w:rPr>
              <w:t>评审内容：①时间进度安排计划②工作流程③进度保障措施。评审标准：以上方案内容全面详细、目标明确、科学合理且完全符合本项目采购要求得15分。评审内容每缺一项扣5分,评审内容有缺陷（缺陷指内容明显错误、描述过于简单、与项目特点不匹配、凭空编造、逻辑漏洞、出现常识性错误或不适用本项目特性等）的扣2.5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评审内容：①服务质量保证措施②服务质量承诺。评审标准：以上内容全面详细、阐述条理清晰详尽、可行性强且符合本项目采购需求得10分。评审内容每缺一项扣5分,评审内容有缺陷（缺陷指内容明显错误、描述过于简单、与项目特点不匹配、凭空编造、逻辑漏洞、出现常识性错误或不适用本项目特性等)的扣2.5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①内部管理制度②日常工作制度③人员培训制度④岗位职责。评审标准：以上内容全面详细、阐述条理清晰详尽、可行性强且符合本项目需求得20分。评审内容每缺一项扣5分,评审内容有缺陷（缺陷指内容明显错误、描述过于简单、与项目特点不匹配、凭空编造、逻辑漏洞、出现常识性错误或不适用本项目特性等）的扣2.5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评审内容：①对本项目的合理化建议具有科学性、前瞻性、地域性、可行性②承诺接受采购人对服务的考核、监督及管理以及采购人对服务质量的满意度并加以改进，确保服务工作的优质高效。评审标准：以上内容全面详细、计划安排合理、逻辑清晰、可行性强得10分。评审内容每缺一项扣5分,评审内容有缺陷（缺陷指内容明显错误、描述过于简单、与项目特点不匹配、凭空编造、逻辑漏洞、出现常识性错误或不适用本项目特性等）的扣2.5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人员配置计划</w:t>
            </w:r>
          </w:p>
        </w:tc>
        <w:tc>
          <w:tcPr>
            <w:tcW w:type="dxa" w:w="2492"/>
          </w:tcPr>
          <w:p>
            <w:pPr>
              <w:pStyle w:val="null3"/>
            </w:pPr>
            <w:r>
              <w:rPr>
                <w:rFonts w:ascii="仿宋_GB2312" w:hAnsi="仿宋_GB2312" w:cs="仿宋_GB2312" w:eastAsia="仿宋_GB2312"/>
              </w:rPr>
              <w:t>1.项目负责人持有（市政工程/环境工程）相关专业高级工程师职称证，得4分。 2.除项目负责人外，每配备1位具备相关专业注册执业资格证书或相关专业中级及以上技术职称的人员，得1.5分。最高得6分。（注：需提供有效证书复印件及近 6 个月社保缴费证明或劳动合同）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人员配置计划表.docx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供应商提供2023年1月至响应文件递交截止日类似项目业绩（以合同复印件或中标通知书为准），每提供一份业绩得1分，最高得5分。若提供虚假业绩，一经发现，按无效投标处理。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满足磋商文件要求且投标价格最低的投标报价为评标基准价，其价格分为满分。其他投标供应商的价格分统一按照下列公式计算：投标报价得分=(磋商基准价／磋商评审价 )×10%×100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详见附件：人员配置计划表.docx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