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版本号：DHY-2026-HZ00620260413001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2026年青水镇朱家岭村苗民新村道路建设项目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DHY-2026-HZ006</w:t>
      </w:r>
      <w:r>
        <w:br/>
      </w:r>
      <w:r>
        <w:br/>
      </w:r>
      <w:r>
        <w:br/>
      </w:r>
    </w:p>
    <w:p>
      <w:pPr>
        <w:pStyle w:val="null3"/>
        <w:jc w:val="center"/>
        <w:outlineLvl w:val="2"/>
      </w:pPr>
      <w:r>
        <w:rPr>
          <w:rFonts w:ascii="仿宋_GB2312" w:hAnsi="仿宋_GB2312" w:cs="仿宋_GB2312" w:eastAsia="仿宋_GB2312"/>
          <w:sz w:val="28"/>
          <w:b/>
        </w:rPr>
        <w:t>镇巴县青水镇人民政府</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镇巴县青水镇人民政府</w:t>
      </w:r>
      <w:r>
        <w:rPr>
          <w:rFonts w:ascii="仿宋_GB2312" w:hAnsi="仿宋_GB2312" w:cs="仿宋_GB2312" w:eastAsia="仿宋_GB2312"/>
        </w:rPr>
        <w:t>委托，拟对</w:t>
      </w:r>
      <w:r>
        <w:rPr>
          <w:rFonts w:ascii="仿宋_GB2312" w:hAnsi="仿宋_GB2312" w:cs="仿宋_GB2312" w:eastAsia="仿宋_GB2312"/>
        </w:rPr>
        <w:t>2026年青水镇朱家岭村苗民新村道路建设项目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DHY-2026-HZ006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2026年青水镇朱家岭村苗民新村道路建设项目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镇拟实施的2026年青水镇朱家岭村苗民新村道路建设项目位于青水镇朱家岭村，项目主要以建设水泥混凝土道路1.50公里。开挖路基长1500m，开挖土石方4097.95m，设错车道4道，每道均长28m。浇筑砼路面1500m，错车道硬化112m，浆砌M7.5片石挡土墙40m、103.45m’，建设土路肩1000m、硬路肩500m，修建C25浅碟式排水沟1500m、142.50m。安装1-0.8米钢筋砼圆管涵5道，1-1.0钢筋砼盖板涵2道，每道均长6.1m。安装波形梁护栏920m，其中:标准段800m，端头段120m。安装标志牌11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采购包1（2026年青水镇朱家岭村苗民新村道路建设项目）：属于专门面向中小企业采购。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2、授权代表身份证：法定代表人授权委托书(附法定代表人身份证复印件及被授权人身份证复印件);法定代表人直接参加投标只须提供法定代表人证明书(附法定代表人身份证复印件);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经营活动无重大违法活动记录，供应商提供《汉中市政府采购供应商资格承诺函》;</w:t>
      </w:r>
    </w:p>
    <w:p>
      <w:pPr>
        <w:pStyle w:val="null3"/>
      </w:pPr>
      <w:r>
        <w:rPr>
          <w:rFonts w:ascii="仿宋_GB2312" w:hAnsi="仿宋_GB2312" w:cs="仿宋_GB2312" w:eastAsia="仿宋_GB2312"/>
        </w:rPr>
        <w:t>4、供应商资质要求：供应商须具备公路工程施工总承包三级及以上资质，并具备有效的安全生产许可证;</w:t>
      </w:r>
    </w:p>
    <w:p>
      <w:pPr>
        <w:pStyle w:val="null3"/>
      </w:pPr>
      <w:r>
        <w:rPr>
          <w:rFonts w:ascii="仿宋_GB2312" w:hAnsi="仿宋_GB2312" w:cs="仿宋_GB2312" w:eastAsia="仿宋_GB2312"/>
        </w:rPr>
        <w:t>5、似派项目负责人资质与专业要求：拟派项目经理须具有公路工程专业二级及以上注册建造师资格和有效的安全考核合格证书(B证)，且无在岗工程(出具无在岗承诺书);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镇巴县青水镇人民政府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青水镇营盘社区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镇巴县青水镇人民政府经办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0916-6771350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陕西省西安市未央区北二环太华北路立交东北角百寰国际27层2702室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采购包1：1,325,966.00元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开户名称：陕西鼎慧源工程项目管理有限公司汉中分公司</w:t>
            </w:r>
          </w:p>
          <w:p>
            <w:pPr>
              <w:pStyle w:val="null3"/>
            </w:pPr>
            <w:r>
              <w:rPr>
                <w:rFonts w:ascii="仿宋_GB2312" w:hAnsi="仿宋_GB2312" w:cs="仿宋_GB2312" w:eastAsia="仿宋_GB2312"/>
              </w:rPr>
              <w:t>开户银行：中国工商银行股份有限公司汉中北团结街支行</w:t>
            </w:r>
          </w:p>
          <w:p>
            <w:pPr>
              <w:pStyle w:val="null3"/>
            </w:pPr>
            <w:r>
              <w:rPr>
                <w:rFonts w:ascii="仿宋_GB2312" w:hAnsi="仿宋_GB2312" w:cs="仿宋_GB2312" w:eastAsia="仿宋_GB2312"/>
              </w:rPr>
              <w:t>银行账号：2606 0503 0920 0271 036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供应商按《国家计委关于印发&lt;磋商代理服务收费管理暂行办法&gt;的通知》（计价格[2002]1980号）、发改价格〔2011〕534号文及《陕西省住房和城乡建设厅文件陕价行发【2014】88号》文收费标准向采购代理机构一次性支付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镇巴县青水镇人民政府</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镇巴县青水镇人民政府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镇巴县青水镇人民政府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联系人：徐女士</w:t>
      </w:r>
    </w:p>
    <w:p>
      <w:pPr>
        <w:pStyle w:val="null3"/>
      </w:pPr>
      <w:r>
        <w:rPr>
          <w:rFonts w:ascii="仿宋_GB2312" w:hAnsi="仿宋_GB2312" w:cs="仿宋_GB2312" w:eastAsia="仿宋_GB2312"/>
        </w:rPr>
        <w:t>联系电话：0916-8881950</w:t>
      </w:r>
    </w:p>
    <w:p>
      <w:pPr>
        <w:pStyle w:val="null3"/>
      </w:pPr>
      <w:r>
        <w:rPr>
          <w:rFonts w:ascii="仿宋_GB2312" w:hAnsi="仿宋_GB2312" w:cs="仿宋_GB2312" w:eastAsia="仿宋_GB2312"/>
        </w:rPr>
        <w:t>地址：陕西省汉中市汉台区滨江印象西门五楼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1,325,966.00</w:t>
      </w:r>
    </w:p>
    <w:p>
      <w:pPr>
        <w:pStyle w:val="null3"/>
      </w:pPr>
      <w:r>
        <w:rPr>
          <w:rFonts w:ascii="仿宋_GB2312" w:hAnsi="仿宋_GB2312" w:cs="仿宋_GB2312" w:eastAsia="仿宋_GB2312"/>
        </w:rPr>
        <w:t>采购包最高限价（元）: 1,325,966.00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2026年青水镇朱家岭村苗民新村道路建设项目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1,325,966.00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标的名称：2026年青水镇朱家岭村苗民新村道路建设项目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具体详见本项目工程量清单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 期 ：180日历天 ； 质量要求：交工验收的质量等级评定：合格； 竣工验收的质量等级评定：合格。 缺陷责任期：自竣工验收合格之日起满2年； 质量保修期：自竣工验收合格之日起满2年；</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一、漏项处理:施工过程中发现工程量清单中存在漏项工程的，该漏项工程作为本项目采购的组成部分，采购人和供应商可以按照双方合同的规定协商解决。 二、最高限价编制说明：编制依据：1、交通运输部公告【2017】51号颁布的《公路工程标准施工招标文件（2018版）》； 2、交通运输部公告【2018】86号颁布的《公路工程基本建设项目概算预算编制办法》（JTG3830-2018）； 3、陕西省交通厅《陕西省公路养护工程预算编制办法》、《陕西省公路养护工程预算定额》及《陕西省公路养护工程机械台班费用定额》的通知（陕交发〔2012〕40号）； 4、陕西省交通运输厅文件关于印发《&lt;公路工程建设项目投资估算编制办法&gt;&lt;公路工程建设项目概算预算编制办法&gt;补充规定》的通知（陕交发【2019】93号）； 5、《2026年青水镇朱家岭村苗民新村道路建设项目》施工图。 三、其他项目费及材料价格说明：1、材料信息价按照陕西省交通运输造价事务中心颁布的2026年2月信息价； 2、建筑工程一切险按第200章至第700章合计的0.30%计取； 3、第三方责任险按第200章至第700章合计的0.10%计取； 4、安全生产费按第200章至第700章合计的1.50%计取。</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可以使用签章文件直接打印)，电子版文件1份(以U盘为载体，PDF格式)，纸质响应文件均须A4纸打印，分别各自装订成册并编制目录和页码。线下递交响应文件地点：陕西鼎慧源工程项目管理有限公司(汉中市汉台区滨江印象西门五楼。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属性为：工程类；本项目采购标的所属行业为：建筑业；根据《政府采购促进中小企业发展管理办法》（财库﹝2020﹞46号）第十一条相关规定。中小企业参加政府采购活动，应当出具有效的《中小企业声明函》，才可以通过资格审查并享受中小企业扶持政策（声明函附进磋商响应文件正副本内）。 注：供应商对所提交的《中小企业声明函》声明内容的真实性负责。如有虚假，将依法承担相应责任。</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法定代表人授权委托书(附法定代表人身份证复印件及被授权人身份证复印件);法定代表人直接参加投标只须提供法定代表人证明书(附法定代表人身份证复印件);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经营活动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供应商须具备公路工程施工总承包三级及以上资质，并具备有效的安全生产许可证;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似派项目负责人资质与专业要求</w:t>
            </w:r>
          </w:p>
        </w:tc>
        <w:tc>
          <w:tcPr>
            <w:tcW w:type="dxa" w:w="3322"/>
          </w:tcPr>
          <w:p>
            <w:pPr>
              <w:pStyle w:val="null3"/>
            </w:pPr>
            <w:r>
              <w:rPr>
                <w:rFonts w:ascii="仿宋_GB2312" w:hAnsi="仿宋_GB2312" w:cs="仿宋_GB2312" w:eastAsia="仿宋_GB2312"/>
              </w:rPr>
              <w:t>拟派项目经理须具有公路工程专业二级及以上注册建造师资格和有效的安全考核合格证书(B证)，且无在岗工程(出具无在岗承诺书);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1.拟派项目经理具备中级职称及以上得2分，其他情况不得分。 2.拟派项目经理业绩(3分)：供应商应提供自2022年1月1日以来至今(时间以合同签订时间为准)完成类似业绩证明材料，提供1项有效业绩证明材料的复印件或扫描得1.5分,本项最高得3分，未提供的不得分。注:评审依据:提供合同或中标通知书，需体现项目经理姓名，未体现不予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项目总工</w:t>
            </w:r>
          </w:p>
        </w:tc>
        <w:tc>
          <w:tcPr>
            <w:tcW w:type="dxa" w:w="2492"/>
          </w:tcPr>
          <w:p>
            <w:pPr>
              <w:pStyle w:val="null3"/>
            </w:pPr>
            <w:r>
              <w:rPr>
                <w:rFonts w:ascii="仿宋_GB2312" w:hAnsi="仿宋_GB2312" w:cs="仿宋_GB2312" w:eastAsia="仿宋_GB2312"/>
              </w:rPr>
              <w:t>具有公路类高级技术职称得 5 分，中级技术职称的得4 分，其余不得分；（提供有效证书复印件并加盖供应商公章，未提供者不得分）；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供应商提供2022年至今完成类似道路工程施工业绩，每提供一份得5分，此项最高得15分；无类似业绩不得分。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主要工程项目的施工方案与技术措施</w:t>
            </w:r>
          </w:p>
        </w:tc>
        <w:tc>
          <w:tcPr>
            <w:tcW w:type="dxa" w:w="2492"/>
          </w:tcPr>
          <w:p>
            <w:pPr>
              <w:pStyle w:val="null3"/>
            </w:pPr>
            <w:r>
              <w:rPr>
                <w:rFonts w:ascii="仿宋_GB2312" w:hAnsi="仿宋_GB2312" w:cs="仿宋_GB2312" w:eastAsia="仿宋_GB2312"/>
              </w:rPr>
              <w:t>a.施工方案与技术措施完善、科学、详细，内容全面得6.1-10分； b.施工方案与技术措施完善、科学、详细，内容较全面得3.1-6分； c.施工方案与技术措施基本完善、科学、详细，内容基本全面 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a. 工期保证体系及保证措施合理、可行性强，得6.1-10分； b. 工期保证体系及保证措施较合理，可行性较强，得3.1-6分； c. 工期保证体系及保证措施基本满足施工要求，可行性一般，得0-3分。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a. 工程质量管理体系及保证措施编制科学合理、完整详尽、全面符合技术规范、质量标准得6.1-10分； b. 工程质量管理体系及保证措施编制科学较合理、较详尽、较符合技术规范、质量标准得3.1-6分； c. 工程质量管理体系及保证措施编制科学合理、基本符合技术规范、质量标准得0-3分；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a. 安全生产管理体系及保证措施合理、可行性强，得6.1-10分； b. 安全生产管理体系及保证措施较合理，可行性较强，得3.1-6分； c. 安全生产管理体系及保证措施基本合理，具有一定的可行性，得0-3分。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a.措施较合理，可行性较强，得3.1-5分； b.措施基本合理，具备一定可行性的，得0-2.9分。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以满足招标文件要求且投标报价最低的有效投标报价为评审基准价，其价格分为满分。其他投标人的价格分统一按照下列公式计算：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详见附件：业绩证明.docx</w:t>
      </w:r>
    </w:p>
    <w:p>
      <w:pPr>
        <w:pStyle w:val="null3"/>
        <w:ind w:firstLine="960"/>
      </w:pPr>
      <w:r>
        <w:rPr>
          <w:rFonts w:ascii="仿宋_GB2312" w:hAnsi="仿宋_GB2312" w:cs="仿宋_GB2312" w:eastAsia="仿宋_GB2312"/>
        </w:rPr>
        <w:t>详见附件：技术投标方案.docx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