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096D4">
      <w:pPr>
        <w:spacing w:line="480" w:lineRule="exact"/>
        <w:jc w:val="center"/>
        <w:outlineLvl w:val="0"/>
        <w:rPr>
          <w:rFonts w:hint="eastAsia" w:ascii="仿宋" w:hAnsi="仿宋" w:eastAsia="仿宋" w:cs="仿宋"/>
          <w:b/>
          <w:color w:val="0D0D0D" w:themeColor="text1" w:themeTint="F2"/>
          <w:sz w:val="32"/>
          <w:szCs w:val="32"/>
          <w14:textFill>
            <w14:solidFill>
              <w14:schemeClr w14:val="tx1">
                <w14:lumMod w14:val="95000"/>
                <w14:lumOff w14:val="5000"/>
              </w14:schemeClr>
            </w14:solidFill>
          </w14:textFill>
        </w:rPr>
      </w:pPr>
      <w:r>
        <w:rPr>
          <w:rFonts w:hint="eastAsia" w:ascii="仿宋" w:hAnsi="仿宋" w:eastAsia="仿宋" w:cs="仿宋"/>
          <w:b/>
          <w:color w:val="0D0D0D" w:themeColor="text1" w:themeTint="F2"/>
          <w:sz w:val="32"/>
          <w:szCs w:val="32"/>
          <w14:textFill>
            <w14:solidFill>
              <w14:schemeClr w14:val="tx1">
                <w14:lumMod w14:val="95000"/>
                <w14:lumOff w14:val="5000"/>
              </w14:schemeClr>
            </w14:solidFill>
          </w14:textFill>
        </w:rPr>
        <w:t>合同条款及格式</w:t>
      </w:r>
    </w:p>
    <w:p w14:paraId="15061EC8">
      <w:pPr>
        <w:pStyle w:val="8"/>
        <w:numPr>
          <w:ilvl w:val="0"/>
          <w:numId w:val="1"/>
        </w:numPr>
        <w:autoSpaceDE/>
        <w:autoSpaceDN/>
        <w:spacing w:line="600" w:lineRule="exact"/>
        <w:jc w:val="center"/>
        <w:rPr>
          <w:rFonts w:hint="eastAsia" w:ascii="仿宋" w:hAnsi="仿宋" w:eastAsia="仿宋" w:cs="仿宋"/>
          <w:b/>
          <w:color w:val="0D0D0D" w:themeColor="text1" w:themeTint="F2"/>
          <w:sz w:val="24"/>
          <w:szCs w:val="52"/>
          <w14:textFill>
            <w14:solidFill>
              <w14:schemeClr w14:val="tx1">
                <w14:lumMod w14:val="95000"/>
                <w14:lumOff w14:val="5000"/>
              </w14:schemeClr>
            </w14:solidFill>
          </w14:textFill>
        </w:rPr>
      </w:pPr>
      <w:r>
        <w:rPr>
          <w:rFonts w:hint="eastAsia" w:ascii="仿宋" w:hAnsi="仿宋" w:eastAsia="仿宋" w:cs="仿宋"/>
          <w:b/>
          <w:color w:val="0D0D0D" w:themeColor="text1" w:themeTint="F2"/>
          <w:sz w:val="24"/>
          <w:szCs w:val="52"/>
          <w14:textFill>
            <w14:solidFill>
              <w14:schemeClr w14:val="tx1">
                <w14:lumMod w14:val="95000"/>
                <w14:lumOff w14:val="5000"/>
              </w14:schemeClr>
            </w14:solidFill>
          </w14:textFill>
        </w:rPr>
        <w:t>通用合同条款</w:t>
      </w:r>
    </w:p>
    <w:p w14:paraId="3D58C07F">
      <w:pPr>
        <w:pStyle w:val="9"/>
        <w:tabs>
          <w:tab w:val="left" w:pos="1307"/>
        </w:tabs>
        <w:spacing w:line="360" w:lineRule="auto"/>
        <w:ind w:left="0" w:right="384" w:firstLine="438" w:firstLineChars="200"/>
        <w:rPr>
          <w:rFonts w:hint="eastAsia" w:ascii="仿宋" w:hAnsi="仿宋" w:eastAsia="仿宋" w:cs="仿宋"/>
          <w:b/>
          <w:color w:val="0D0D0D" w:themeColor="text1" w:themeTint="F2"/>
          <w:spacing w:val="-1"/>
          <w:szCs w:val="24"/>
          <w14:textFill>
            <w14:solidFill>
              <w14:schemeClr w14:val="tx1">
                <w14:lumMod w14:val="95000"/>
                <w14:lumOff w14:val="5000"/>
              </w14:schemeClr>
            </w14:solidFill>
          </w14:textFill>
        </w:rPr>
      </w:pPr>
      <w:r>
        <w:rPr>
          <w:rFonts w:hint="eastAsia" w:ascii="仿宋" w:hAnsi="仿宋" w:eastAsia="仿宋" w:cs="仿宋"/>
          <w:b/>
          <w:color w:val="0D0D0D" w:themeColor="text1" w:themeTint="F2"/>
          <w:spacing w:val="-1"/>
          <w:szCs w:val="24"/>
          <w14:textFill>
            <w14:solidFill>
              <w14:schemeClr w14:val="tx1">
                <w14:lumMod w14:val="95000"/>
                <w14:lumOff w14:val="5000"/>
              </w14:schemeClr>
            </w14:solidFill>
          </w14:textFill>
        </w:rPr>
        <w:t>“通用合同条款”采用《公路工程标准施工招标文件》（2018年版·第一册）的“通用合同条款”</w:t>
      </w:r>
    </w:p>
    <w:p w14:paraId="3E9A8A8E">
      <w:pPr>
        <w:pStyle w:val="9"/>
        <w:widowControl w:val="0"/>
        <w:tabs>
          <w:tab w:val="left" w:pos="1901"/>
        </w:tabs>
        <w:autoSpaceDE w:val="0"/>
        <w:autoSpaceDN w:val="0"/>
        <w:spacing w:after="0"/>
        <w:ind w:left="0" w:firstLine="442" w:firstLineChars="200"/>
        <w:jc w:val="cente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pPr>
      <w: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t xml:space="preserve">第二节 </w:t>
      </w:r>
      <w:bookmarkStart w:id="0" w:name="_Toc139464384"/>
      <w:bookmarkStart w:id="1" w:name="_Toc120443079"/>
      <w:bookmarkStart w:id="2" w:name="_Toc139463619"/>
      <w:bookmarkStart w:id="3" w:name="_Toc139462820"/>
      <w:r>
        <w:rPr>
          <w:rFonts w:hint="eastAsia" w:ascii="仿宋" w:hAnsi="仿宋" w:eastAsia="仿宋" w:cs="仿宋"/>
          <w:b/>
          <w:color w:val="0D0D0D" w:themeColor="text1" w:themeTint="F2"/>
          <w:szCs w:val="24"/>
          <w14:textFill>
            <w14:solidFill>
              <w14:schemeClr w14:val="tx1">
                <w14:lumMod w14:val="95000"/>
                <w14:lumOff w14:val="5000"/>
              </w14:schemeClr>
            </w14:solidFill>
          </w14:textFill>
        </w:rPr>
        <w:t>项目专用合同条款数据表</w:t>
      </w:r>
      <w:bookmarkEnd w:id="0"/>
      <w:bookmarkEnd w:id="1"/>
      <w:bookmarkEnd w:id="2"/>
      <w:bookmarkEnd w:id="3"/>
    </w:p>
    <w:p w14:paraId="726F7749">
      <w:pPr>
        <w:pStyle w:val="9"/>
        <w:widowControl w:val="0"/>
        <w:tabs>
          <w:tab w:val="left" w:pos="1901"/>
        </w:tabs>
        <w:autoSpaceDE w:val="0"/>
        <w:autoSpaceDN w:val="0"/>
        <w:spacing w:after="0"/>
        <w:ind w:left="0" w:firstLine="440" w:firstLineChars="200"/>
        <w:rPr>
          <w:rFonts w:hint="eastAsia" w:ascii="仿宋" w:hAnsi="仿宋" w:eastAsia="仿宋" w:cs="仿宋"/>
          <w:color w:val="0D0D0D" w:themeColor="text1" w:themeTint="F2"/>
          <w:szCs w:val="24"/>
          <w14:textFill>
            <w14:solidFill>
              <w14:schemeClr w14:val="tx1">
                <w14:lumMod w14:val="95000"/>
                <w14:lumOff w14:val="5000"/>
              </w14:schemeClr>
            </w14:solidFill>
          </w14:textFill>
        </w:rPr>
      </w:pPr>
      <w:r>
        <w:rPr>
          <w:rFonts w:hint="eastAsia" w:ascii="仿宋" w:hAnsi="仿宋" w:eastAsia="仿宋" w:cs="仿宋"/>
          <w:color w:val="0D0D0D" w:themeColor="text1" w:themeTint="F2"/>
          <w:szCs w:val="24"/>
          <w14:textFill>
            <w14:solidFill>
              <w14:schemeClr w14:val="tx1">
                <w14:lumMod w14:val="95000"/>
                <w14:lumOff w14:val="5000"/>
              </w14:schemeClr>
            </w14:solidFill>
          </w14:textFill>
        </w:rPr>
        <w:t>说明：本数据表是项目专用合同条款中适用于本项目的信息和数据的归纳与提示，是项目专用合同条款的组成部分。</w:t>
      </w:r>
    </w:p>
    <w:tbl>
      <w:tblPr>
        <w:tblStyle w:val="6"/>
        <w:tblW w:w="985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565"/>
        <w:gridCol w:w="7475"/>
      </w:tblGrid>
      <w:tr w14:paraId="4B7E9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11" w:type="dxa"/>
            <w:tcBorders>
              <w:tl2br w:val="nil"/>
              <w:tr2bl w:val="nil"/>
            </w:tcBorders>
            <w:vAlign w:val="center"/>
          </w:tcPr>
          <w:p w14:paraId="5CF39CD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序号</w:t>
            </w:r>
          </w:p>
        </w:tc>
        <w:tc>
          <w:tcPr>
            <w:tcW w:w="1565" w:type="dxa"/>
            <w:tcBorders>
              <w:tl2br w:val="nil"/>
              <w:tr2bl w:val="nil"/>
            </w:tcBorders>
            <w:vAlign w:val="center"/>
          </w:tcPr>
          <w:p w14:paraId="314A3C21">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条目号</w:t>
            </w:r>
          </w:p>
        </w:tc>
        <w:tc>
          <w:tcPr>
            <w:tcW w:w="7475" w:type="dxa"/>
            <w:tcBorders>
              <w:tl2br w:val="nil"/>
              <w:tr2bl w:val="nil"/>
            </w:tcBorders>
            <w:vAlign w:val="center"/>
          </w:tcPr>
          <w:p w14:paraId="29777E9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信息或数据</w:t>
            </w:r>
          </w:p>
        </w:tc>
      </w:tr>
      <w:tr w14:paraId="33D40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811" w:type="dxa"/>
            <w:tcBorders>
              <w:tl2br w:val="nil"/>
              <w:tr2bl w:val="nil"/>
            </w:tcBorders>
            <w:vAlign w:val="center"/>
          </w:tcPr>
          <w:p w14:paraId="57E267A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w:t>
            </w:r>
          </w:p>
        </w:tc>
        <w:tc>
          <w:tcPr>
            <w:tcW w:w="1565" w:type="dxa"/>
            <w:tcBorders>
              <w:tl2br w:val="nil"/>
              <w:tr2bl w:val="nil"/>
            </w:tcBorders>
            <w:vAlign w:val="center"/>
          </w:tcPr>
          <w:p w14:paraId="7FE4E723">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1.1.2.2</w:t>
            </w:r>
          </w:p>
        </w:tc>
        <w:tc>
          <w:tcPr>
            <w:tcW w:w="7475" w:type="dxa"/>
            <w:tcBorders>
              <w:tl2br w:val="nil"/>
              <w:tr2bl w:val="nil"/>
            </w:tcBorders>
          </w:tcPr>
          <w:p w14:paraId="7A1E8853">
            <w:pPr>
              <w:pStyle w:val="10"/>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sz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发 包 人 ：</w:t>
            </w:r>
          </w:p>
          <w:p w14:paraId="0283E69A">
            <w:pPr>
              <w:pStyle w:val="10"/>
              <w:keepNext w:val="0"/>
              <w:keepLines w:val="0"/>
              <w:pageBreakBefore w:val="0"/>
              <w:widowControl w:val="0"/>
              <w:tabs>
                <w:tab w:val="left" w:pos="979"/>
                <w:tab w:val="left" w:pos="3394"/>
              </w:tabs>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地    址</w:t>
            </w:r>
            <w:r>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14:textFill>
                  <w14:solidFill>
                    <w14:schemeClr w14:val="tx1">
                      <w14:lumMod w14:val="95000"/>
                      <w14:lumOff w14:val="5000"/>
                    </w14:schemeClr>
                  </w14:solidFill>
                </w14:textFill>
              </w:rPr>
              <w:t>：</w:t>
            </w:r>
          </w:p>
          <w:p w14:paraId="745297A0">
            <w:pPr>
              <w:pStyle w:val="10"/>
              <w:keepNext w:val="0"/>
              <w:keepLines w:val="0"/>
              <w:pageBreakBefore w:val="0"/>
              <w:widowControl w:val="0"/>
              <w:tabs>
                <w:tab w:val="left" w:pos="979"/>
                <w:tab w:val="left" w:pos="3394"/>
              </w:tabs>
              <w:kinsoku/>
              <w:wordWrap/>
              <w:overflowPunct/>
              <w:topLinePunct w:val="0"/>
              <w:autoSpaceDE w:val="0"/>
              <w:autoSpaceDN w:val="0"/>
              <w:bidi w:val="0"/>
              <w:adjustRightInd w:val="0"/>
              <w:snapToGrid w:val="0"/>
              <w:spacing w:line="240" w:lineRule="auto"/>
              <w:textAlignment w:val="auto"/>
              <w:rPr>
                <w:rFonts w:hint="eastAsia" w:ascii="仿宋" w:hAnsi="仿宋" w:eastAsia="仿宋" w:cs="仿宋"/>
                <w:color w:val="0D0D0D" w:themeColor="text1" w:themeTint="F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14:textFill>
                  <w14:solidFill>
                    <w14:schemeClr w14:val="tx1">
                      <w14:lumMod w14:val="95000"/>
                      <w14:lumOff w14:val="5000"/>
                    </w14:schemeClr>
                  </w14:solidFill>
                </w14:textFill>
              </w:rPr>
              <w:t>邮政编码：</w:t>
            </w:r>
          </w:p>
        </w:tc>
      </w:tr>
      <w:tr w14:paraId="469804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11" w:type="dxa"/>
            <w:tcBorders>
              <w:tl2br w:val="nil"/>
              <w:tr2bl w:val="nil"/>
            </w:tcBorders>
            <w:vAlign w:val="center"/>
          </w:tcPr>
          <w:p w14:paraId="66D7B622">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w:t>
            </w:r>
          </w:p>
        </w:tc>
        <w:tc>
          <w:tcPr>
            <w:tcW w:w="1565" w:type="dxa"/>
            <w:tcBorders>
              <w:tl2br w:val="nil"/>
              <w:tr2bl w:val="nil"/>
            </w:tcBorders>
            <w:vAlign w:val="center"/>
          </w:tcPr>
          <w:p w14:paraId="6A99C10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1.1.2.6</w:t>
            </w:r>
          </w:p>
        </w:tc>
        <w:tc>
          <w:tcPr>
            <w:tcW w:w="7475" w:type="dxa"/>
            <w:tcBorders>
              <w:tl2br w:val="nil"/>
              <w:tr2bl w:val="nil"/>
            </w:tcBorders>
            <w:vAlign w:val="center"/>
          </w:tcPr>
          <w:p w14:paraId="38CF69D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监 理 人：由发包人以书面形式通知承包人。</w:t>
            </w:r>
          </w:p>
        </w:tc>
      </w:tr>
      <w:tr w14:paraId="161ADB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11" w:type="dxa"/>
            <w:tcBorders>
              <w:tl2br w:val="nil"/>
              <w:tr2bl w:val="nil"/>
            </w:tcBorders>
            <w:vAlign w:val="center"/>
          </w:tcPr>
          <w:p w14:paraId="421F521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w:t>
            </w:r>
          </w:p>
        </w:tc>
        <w:tc>
          <w:tcPr>
            <w:tcW w:w="1565" w:type="dxa"/>
            <w:tcBorders>
              <w:tl2br w:val="nil"/>
              <w:tr2bl w:val="nil"/>
            </w:tcBorders>
            <w:vAlign w:val="center"/>
          </w:tcPr>
          <w:p w14:paraId="546BAA4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1.1.4.5</w:t>
            </w:r>
          </w:p>
        </w:tc>
        <w:tc>
          <w:tcPr>
            <w:tcW w:w="7475" w:type="dxa"/>
            <w:tcBorders>
              <w:tl2br w:val="nil"/>
              <w:tr2bl w:val="nil"/>
            </w:tcBorders>
            <w:vAlign w:val="center"/>
          </w:tcPr>
          <w:p w14:paraId="12D12DC2">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szCs w:val="22"/>
                <w14:textFill>
                  <w14:solidFill>
                    <w14:schemeClr w14:val="tx1">
                      <w14:lumMod w14:val="95000"/>
                      <w14:lumOff w14:val="5000"/>
                    </w14:schemeClr>
                  </w14:solidFill>
                </w14:textFill>
              </w:rPr>
              <w:t>缺陷责任期：缺陷责任期：</w:t>
            </w:r>
            <w:r>
              <w:rPr>
                <w:rFonts w:hint="eastAsia" w:ascii="仿宋" w:hAnsi="仿宋" w:eastAsia="仿宋" w:cs="仿宋"/>
                <w:color w:val="000000" w:themeColor="text1"/>
                <w:spacing w:val="-3"/>
                <w:sz w:val="22"/>
                <w:szCs w:val="22"/>
                <w:highlight w:val="none"/>
                <w14:textFill>
                  <w14:solidFill>
                    <w14:schemeClr w14:val="tx1"/>
                  </w14:solidFill>
                </w14:textFill>
              </w:rPr>
              <w:t>自</w:t>
            </w:r>
            <w:r>
              <w:rPr>
                <w:rFonts w:hint="eastAsia" w:ascii="仿宋" w:hAnsi="仿宋" w:eastAsia="仿宋" w:cs="仿宋"/>
                <w:color w:val="000000" w:themeColor="text1"/>
                <w:sz w:val="22"/>
                <w:szCs w:val="22"/>
                <w:highlight w:val="none"/>
                <w14:textFill>
                  <w14:solidFill>
                    <w14:schemeClr w14:val="tx1"/>
                  </w14:solidFill>
                </w14:textFill>
              </w:rPr>
              <w:t>实</w:t>
            </w:r>
            <w:r>
              <w:rPr>
                <w:rFonts w:hint="eastAsia" w:ascii="仿宋" w:hAnsi="仿宋" w:eastAsia="仿宋" w:cs="仿宋"/>
                <w:color w:val="000000" w:themeColor="text1"/>
                <w:spacing w:val="-3"/>
                <w:sz w:val="22"/>
                <w:szCs w:val="22"/>
                <w:highlight w:val="none"/>
                <w14:textFill>
                  <w14:solidFill>
                    <w14:schemeClr w14:val="tx1"/>
                  </w14:solidFill>
                </w14:textFill>
              </w:rPr>
              <w:t>际</w:t>
            </w:r>
            <w:r>
              <w:rPr>
                <w:rFonts w:hint="eastAsia" w:ascii="仿宋" w:hAnsi="仿宋" w:eastAsia="仿宋" w:cs="仿宋"/>
                <w:color w:val="000000" w:themeColor="text1"/>
                <w:sz w:val="22"/>
                <w:szCs w:val="22"/>
                <w:highlight w:val="none"/>
                <w14:textFill>
                  <w14:solidFill>
                    <w14:schemeClr w14:val="tx1"/>
                  </w14:solidFill>
                </w14:textFill>
              </w:rPr>
              <w:t>交</w:t>
            </w:r>
            <w:r>
              <w:rPr>
                <w:rFonts w:hint="eastAsia" w:ascii="仿宋" w:hAnsi="仿宋" w:eastAsia="仿宋" w:cs="仿宋"/>
                <w:color w:val="000000" w:themeColor="text1"/>
                <w:spacing w:val="-3"/>
                <w:sz w:val="22"/>
                <w:szCs w:val="22"/>
                <w:highlight w:val="none"/>
                <w14:textFill>
                  <w14:solidFill>
                    <w14:schemeClr w14:val="tx1"/>
                  </w14:solidFill>
                </w14:textFill>
              </w:rPr>
              <w:t>工</w:t>
            </w:r>
            <w:r>
              <w:rPr>
                <w:rFonts w:hint="eastAsia" w:ascii="仿宋" w:hAnsi="仿宋" w:eastAsia="仿宋" w:cs="仿宋"/>
                <w:color w:val="000000" w:themeColor="text1"/>
                <w:sz w:val="22"/>
                <w:szCs w:val="22"/>
                <w:highlight w:val="none"/>
                <w14:textFill>
                  <w14:solidFill>
                    <w14:schemeClr w14:val="tx1"/>
                  </w14:solidFill>
                </w14:textFill>
              </w:rPr>
              <w:t>日期</w:t>
            </w:r>
            <w:r>
              <w:rPr>
                <w:rFonts w:hint="eastAsia" w:ascii="仿宋" w:hAnsi="仿宋" w:eastAsia="仿宋" w:cs="仿宋"/>
                <w:color w:val="000000" w:themeColor="text1"/>
                <w:spacing w:val="-3"/>
                <w:sz w:val="22"/>
                <w:szCs w:val="22"/>
                <w:highlight w:val="none"/>
                <w14:textFill>
                  <w14:solidFill>
                    <w14:schemeClr w14:val="tx1"/>
                  </w14:solidFill>
                </w14:textFill>
              </w:rPr>
              <w:t>起</w:t>
            </w:r>
            <w:r>
              <w:rPr>
                <w:rFonts w:hint="eastAsia" w:ascii="仿宋" w:hAnsi="仿宋" w:eastAsia="仿宋" w:cs="仿宋"/>
                <w:color w:val="000000" w:themeColor="text1"/>
                <w:sz w:val="22"/>
                <w:szCs w:val="22"/>
                <w:highlight w:val="none"/>
                <w14:textFill>
                  <w14:solidFill>
                    <w14:schemeClr w14:val="tx1"/>
                  </w14:solidFill>
                </w14:textFill>
              </w:rPr>
              <w:t>计</w:t>
            </w:r>
            <w:r>
              <w:rPr>
                <w:rFonts w:hint="eastAsia" w:ascii="仿宋" w:hAnsi="仿宋" w:eastAsia="仿宋" w:cs="仿宋"/>
                <w:color w:val="000000" w:themeColor="text1"/>
                <w:spacing w:val="-3"/>
                <w:sz w:val="22"/>
                <w:szCs w:val="22"/>
                <w:highlight w:val="none"/>
                <w14:textFill>
                  <w14:solidFill>
                    <w14:schemeClr w14:val="tx1"/>
                  </w14:solidFill>
                </w14:textFill>
              </w:rPr>
              <w:t>算</w:t>
            </w:r>
            <w:r>
              <w:rPr>
                <w:rFonts w:hint="eastAsia" w:ascii="仿宋" w:hAnsi="仿宋" w:eastAsia="仿宋" w:cs="仿宋"/>
                <w:color w:val="000000" w:themeColor="text1"/>
                <w:spacing w:val="-3"/>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pacing w:val="-3"/>
                <w:sz w:val="22"/>
                <w:szCs w:val="22"/>
                <w:highlight w:val="none"/>
                <w:u w:val="single"/>
                <w:lang w:val="en-US" w:eastAsia="zh-CN"/>
                <w14:textFill>
                  <w14:solidFill>
                    <w14:schemeClr w14:val="tx1"/>
                  </w14:solidFill>
                </w14:textFill>
              </w:rPr>
              <w:t>2</w:t>
            </w:r>
            <w:bookmarkStart w:id="36" w:name="_GoBack"/>
            <w:bookmarkEnd w:id="36"/>
            <w:r>
              <w:rPr>
                <w:rFonts w:hint="eastAsia" w:ascii="仿宋" w:hAnsi="仿宋" w:eastAsia="仿宋" w:cs="仿宋"/>
                <w:color w:val="000000" w:themeColor="text1"/>
                <w:spacing w:val="-3"/>
                <w:sz w:val="22"/>
                <w:szCs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pacing w:val="-3"/>
                <w:sz w:val="22"/>
                <w:szCs w:val="22"/>
                <w:highlight w:val="none"/>
                <w14:textFill>
                  <w14:solidFill>
                    <w14:schemeClr w14:val="tx1"/>
                  </w14:solidFill>
                </w14:textFill>
              </w:rPr>
              <w:t>年</w:t>
            </w:r>
            <w:r>
              <w:rPr>
                <w:rFonts w:hint="eastAsia" w:ascii="仿宋" w:hAnsi="仿宋" w:eastAsia="仿宋" w:cs="仿宋"/>
                <w:color w:val="0D0D0D" w:themeColor="text1" w:themeTint="F2"/>
                <w:sz w:val="22"/>
                <w:szCs w:val="22"/>
                <w14:textFill>
                  <w14:solidFill>
                    <w14:schemeClr w14:val="tx1">
                      <w14:lumMod w14:val="95000"/>
                      <w14:lumOff w14:val="5000"/>
                    </w14:schemeClr>
                  </w14:solidFill>
                </w14:textFill>
              </w:rPr>
              <w:t>。</w:t>
            </w:r>
          </w:p>
        </w:tc>
      </w:tr>
      <w:tr w14:paraId="7BC20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7F9E44D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w:t>
            </w:r>
          </w:p>
        </w:tc>
        <w:tc>
          <w:tcPr>
            <w:tcW w:w="1565" w:type="dxa"/>
            <w:tcBorders>
              <w:tl2br w:val="nil"/>
              <w:tr2bl w:val="nil"/>
            </w:tcBorders>
            <w:vAlign w:val="center"/>
          </w:tcPr>
          <w:p w14:paraId="3AA567C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1.6.3</w:t>
            </w:r>
          </w:p>
        </w:tc>
        <w:tc>
          <w:tcPr>
            <w:tcW w:w="7475" w:type="dxa"/>
            <w:tcBorders>
              <w:tl2br w:val="nil"/>
              <w:tr2bl w:val="nil"/>
            </w:tcBorders>
            <w:vAlign w:val="center"/>
          </w:tcPr>
          <w:p w14:paraId="0884A6C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图纸需要修改和补充的，应由监理人取得发包人同意后，在该项工程或工程相应部位施工前</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7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天签发图纸修改图给承包人。</w:t>
            </w:r>
          </w:p>
        </w:tc>
      </w:tr>
      <w:tr w14:paraId="3B97FD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11" w:type="dxa"/>
            <w:tcBorders>
              <w:tl2br w:val="nil"/>
              <w:tr2bl w:val="nil"/>
            </w:tcBorders>
            <w:vAlign w:val="center"/>
          </w:tcPr>
          <w:p w14:paraId="012352C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w:t>
            </w:r>
          </w:p>
        </w:tc>
        <w:tc>
          <w:tcPr>
            <w:tcW w:w="1565" w:type="dxa"/>
            <w:tcBorders>
              <w:tl2br w:val="nil"/>
              <w:tr2bl w:val="nil"/>
            </w:tcBorders>
            <w:vAlign w:val="center"/>
          </w:tcPr>
          <w:p w14:paraId="6D168FF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3.1.1</w:t>
            </w:r>
          </w:p>
        </w:tc>
        <w:tc>
          <w:tcPr>
            <w:tcW w:w="7475" w:type="dxa"/>
            <w:tcBorders>
              <w:tl2br w:val="nil"/>
              <w:tr2bl w:val="nil"/>
            </w:tcBorders>
            <w:vAlign w:val="center"/>
          </w:tcPr>
          <w:p w14:paraId="2B48A64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监理人在行使变更权利前需要经发包人事先批准。</w:t>
            </w:r>
          </w:p>
        </w:tc>
      </w:tr>
      <w:tr w14:paraId="6E220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811" w:type="dxa"/>
            <w:tcBorders>
              <w:tl2br w:val="nil"/>
              <w:tr2bl w:val="nil"/>
            </w:tcBorders>
            <w:vAlign w:val="center"/>
          </w:tcPr>
          <w:p w14:paraId="6448187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w:t>
            </w:r>
          </w:p>
        </w:tc>
        <w:tc>
          <w:tcPr>
            <w:tcW w:w="1565" w:type="dxa"/>
            <w:tcBorders>
              <w:tl2br w:val="nil"/>
              <w:tr2bl w:val="nil"/>
            </w:tcBorders>
            <w:vAlign w:val="center"/>
          </w:tcPr>
          <w:p w14:paraId="3D4B29B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5.2.1</w:t>
            </w:r>
          </w:p>
        </w:tc>
        <w:tc>
          <w:tcPr>
            <w:tcW w:w="7475" w:type="dxa"/>
            <w:tcBorders>
              <w:tl2br w:val="nil"/>
              <w:tr2bl w:val="nil"/>
            </w:tcBorders>
            <w:vAlign w:val="center"/>
          </w:tcPr>
          <w:p w14:paraId="48718F2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发包人是否提供材料或工程设备：否</w:t>
            </w:r>
          </w:p>
        </w:tc>
      </w:tr>
      <w:tr w14:paraId="5BAD8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11" w:type="dxa"/>
            <w:tcBorders>
              <w:tl2br w:val="nil"/>
              <w:tr2bl w:val="nil"/>
            </w:tcBorders>
            <w:vAlign w:val="center"/>
          </w:tcPr>
          <w:p w14:paraId="4AFEAFF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w:t>
            </w:r>
          </w:p>
        </w:tc>
        <w:tc>
          <w:tcPr>
            <w:tcW w:w="1565" w:type="dxa"/>
            <w:tcBorders>
              <w:tl2br w:val="nil"/>
              <w:tr2bl w:val="nil"/>
            </w:tcBorders>
            <w:vAlign w:val="center"/>
          </w:tcPr>
          <w:p w14:paraId="0023B38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6.2</w:t>
            </w:r>
          </w:p>
        </w:tc>
        <w:tc>
          <w:tcPr>
            <w:tcW w:w="7475" w:type="dxa"/>
            <w:tcBorders>
              <w:tl2br w:val="nil"/>
              <w:tr2bl w:val="nil"/>
            </w:tcBorders>
            <w:vAlign w:val="center"/>
          </w:tcPr>
          <w:p w14:paraId="1AD3815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发包人是否提供施工设备和临时设施：否</w:t>
            </w:r>
          </w:p>
        </w:tc>
      </w:tr>
      <w:tr w14:paraId="3E96B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811" w:type="dxa"/>
            <w:tcBorders>
              <w:tl2br w:val="nil"/>
              <w:tr2bl w:val="nil"/>
            </w:tcBorders>
            <w:vAlign w:val="center"/>
          </w:tcPr>
          <w:p w14:paraId="49B043E3">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w:t>
            </w:r>
          </w:p>
        </w:tc>
        <w:tc>
          <w:tcPr>
            <w:tcW w:w="1565" w:type="dxa"/>
            <w:tcBorders>
              <w:tl2br w:val="nil"/>
              <w:tr2bl w:val="nil"/>
            </w:tcBorders>
            <w:vAlign w:val="center"/>
          </w:tcPr>
          <w:p w14:paraId="4B10816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8.1.1</w:t>
            </w:r>
          </w:p>
        </w:tc>
        <w:tc>
          <w:tcPr>
            <w:tcW w:w="7475" w:type="dxa"/>
            <w:tcBorders>
              <w:tl2br w:val="nil"/>
              <w:tr2bl w:val="nil"/>
            </w:tcBorders>
            <w:vAlign w:val="center"/>
          </w:tcPr>
          <w:p w14:paraId="5AC2655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发包人提供测量基准点、基准先和水准点及其书面资料的期限：</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进场后5日</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p w14:paraId="191B9E3A">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承包人将施工控制网资料报送监理人审批的期限：</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进驻工地后5日内</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r w14:paraId="4185F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1C1945F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9</w:t>
            </w:r>
          </w:p>
        </w:tc>
        <w:tc>
          <w:tcPr>
            <w:tcW w:w="1565" w:type="dxa"/>
            <w:tcBorders>
              <w:tl2br w:val="nil"/>
              <w:tr2bl w:val="nil"/>
            </w:tcBorders>
            <w:vAlign w:val="center"/>
          </w:tcPr>
          <w:p w14:paraId="4B354B0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39B7E314">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逾期交工违约金</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：1000元/天</w:t>
            </w:r>
          </w:p>
        </w:tc>
      </w:tr>
      <w:tr w14:paraId="6D198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E909AF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w:t>
            </w:r>
          </w:p>
        </w:tc>
        <w:tc>
          <w:tcPr>
            <w:tcW w:w="1565" w:type="dxa"/>
            <w:tcBorders>
              <w:tl2br w:val="nil"/>
              <w:tr2bl w:val="nil"/>
            </w:tcBorders>
            <w:vAlign w:val="center"/>
          </w:tcPr>
          <w:p w14:paraId="5BFFF73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11.5</w:t>
            </w:r>
          </w:p>
        </w:tc>
        <w:tc>
          <w:tcPr>
            <w:tcW w:w="7475" w:type="dxa"/>
            <w:tcBorders>
              <w:tl2br w:val="nil"/>
              <w:tr2bl w:val="nil"/>
            </w:tcBorders>
            <w:vAlign w:val="center"/>
          </w:tcPr>
          <w:p w14:paraId="0D8C53AE">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逾期交工违约金限额：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10 %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签约合同价</w:t>
            </w:r>
          </w:p>
        </w:tc>
      </w:tr>
      <w:tr w14:paraId="7AB39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4171C00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w:t>
            </w:r>
          </w:p>
        </w:tc>
        <w:tc>
          <w:tcPr>
            <w:tcW w:w="1565" w:type="dxa"/>
            <w:tcBorders>
              <w:tl2br w:val="nil"/>
              <w:tr2bl w:val="nil"/>
            </w:tcBorders>
            <w:vAlign w:val="center"/>
          </w:tcPr>
          <w:p w14:paraId="300675A5">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4A276EB9">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提前交工的奖金：无</w:t>
            </w:r>
          </w:p>
        </w:tc>
      </w:tr>
      <w:tr w14:paraId="6E040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5083DA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w:t>
            </w:r>
          </w:p>
        </w:tc>
        <w:tc>
          <w:tcPr>
            <w:tcW w:w="1565" w:type="dxa"/>
            <w:tcBorders>
              <w:tl2br w:val="nil"/>
              <w:tr2bl w:val="nil"/>
            </w:tcBorders>
            <w:vAlign w:val="center"/>
          </w:tcPr>
          <w:p w14:paraId="5A804AE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06BA028E">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提前交工的奖金限额：</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无</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r w14:paraId="33C124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641432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13</w:t>
            </w:r>
          </w:p>
        </w:tc>
        <w:tc>
          <w:tcPr>
            <w:tcW w:w="1565" w:type="dxa"/>
            <w:tcBorders>
              <w:tl2br w:val="nil"/>
              <w:tr2bl w:val="nil"/>
            </w:tcBorders>
            <w:vAlign w:val="center"/>
          </w:tcPr>
          <w:p w14:paraId="06768742">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11.6</w:t>
            </w:r>
          </w:p>
        </w:tc>
        <w:tc>
          <w:tcPr>
            <w:tcW w:w="7475" w:type="dxa"/>
            <w:tcBorders>
              <w:tl2br w:val="nil"/>
              <w:tr2bl w:val="nil"/>
            </w:tcBorders>
            <w:vAlign w:val="center"/>
          </w:tcPr>
          <w:p w14:paraId="19B76A15">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合同期内不调价。</w:t>
            </w:r>
          </w:p>
        </w:tc>
      </w:tr>
      <w:tr w14:paraId="6655DE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11" w:type="dxa"/>
            <w:tcBorders>
              <w:tl2br w:val="nil"/>
              <w:tr2bl w:val="nil"/>
            </w:tcBorders>
            <w:vAlign w:val="center"/>
          </w:tcPr>
          <w:p w14:paraId="7A738DE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14</w:t>
            </w:r>
          </w:p>
        </w:tc>
        <w:tc>
          <w:tcPr>
            <w:tcW w:w="1565" w:type="dxa"/>
            <w:tcBorders>
              <w:tl2br w:val="nil"/>
              <w:tr2bl w:val="nil"/>
            </w:tcBorders>
            <w:vAlign w:val="center"/>
          </w:tcPr>
          <w:p w14:paraId="20CEC75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15.5.2</w:t>
            </w:r>
          </w:p>
        </w:tc>
        <w:tc>
          <w:tcPr>
            <w:tcW w:w="7475" w:type="dxa"/>
            <w:tcBorders>
              <w:tl2br w:val="nil"/>
              <w:tr2bl w:val="nil"/>
            </w:tcBorders>
            <w:vAlign w:val="center"/>
          </w:tcPr>
          <w:p w14:paraId="55A9F86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承包人提出的合理化建议降低了合同价格或者提高了工程经济效益的，发包人按所节约成本的</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%或增加收益的</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%给予奖励</w:t>
            </w:r>
            <w:r>
              <w:rPr>
                <w:rFonts w:hint="eastAsia" w:ascii="仿宋" w:hAnsi="仿宋" w:eastAsia="仿宋" w:cs="仿宋"/>
                <w:color w:val="0D0D0D" w:themeColor="text1" w:themeTint="F2"/>
                <w:sz w:val="20"/>
                <w:szCs w:val="21"/>
                <w14:textFill>
                  <w14:solidFill>
                    <w14:schemeClr w14:val="tx1">
                      <w14:lumMod w14:val="95000"/>
                      <w14:lumOff w14:val="5000"/>
                    </w14:schemeClr>
                  </w14:solidFill>
                </w14:textFill>
              </w:rPr>
              <w:t>：(不适用)。</w:t>
            </w:r>
          </w:p>
        </w:tc>
      </w:tr>
      <w:tr w14:paraId="4D2E93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98B8A1F">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w:t>
            </w:r>
          </w:p>
        </w:tc>
        <w:tc>
          <w:tcPr>
            <w:tcW w:w="1565" w:type="dxa"/>
            <w:tcBorders>
              <w:tl2br w:val="nil"/>
              <w:tr2bl w:val="nil"/>
            </w:tcBorders>
            <w:vAlign w:val="center"/>
          </w:tcPr>
          <w:p w14:paraId="3C3C458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17.2.1（1）</w:t>
            </w:r>
          </w:p>
        </w:tc>
        <w:tc>
          <w:tcPr>
            <w:tcW w:w="7475" w:type="dxa"/>
            <w:tcBorders>
              <w:tl2br w:val="nil"/>
              <w:tr2bl w:val="nil"/>
            </w:tcBorders>
            <w:vAlign w:val="center"/>
          </w:tcPr>
          <w:p w14:paraId="4740F7EF">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开工预付款金额：</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tc>
      </w:tr>
      <w:tr w14:paraId="15E0EF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9AFE2C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w:t>
            </w:r>
          </w:p>
        </w:tc>
        <w:tc>
          <w:tcPr>
            <w:tcW w:w="1565" w:type="dxa"/>
            <w:tcBorders>
              <w:tl2br w:val="nil"/>
              <w:tr2bl w:val="nil"/>
            </w:tcBorders>
            <w:vAlign w:val="center"/>
          </w:tcPr>
          <w:p w14:paraId="3B6E20E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17.2.1（2）</w:t>
            </w:r>
          </w:p>
        </w:tc>
        <w:tc>
          <w:tcPr>
            <w:tcW w:w="7475" w:type="dxa"/>
            <w:tcBorders>
              <w:tl2br w:val="nil"/>
              <w:tr2bl w:val="nil"/>
            </w:tcBorders>
            <w:vAlign w:val="center"/>
          </w:tcPr>
          <w:p w14:paraId="26ABB300">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材料、设备预付款比例：无</w:t>
            </w:r>
          </w:p>
        </w:tc>
      </w:tr>
      <w:tr w14:paraId="404D7F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0AE8A4D">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w:t>
            </w:r>
          </w:p>
        </w:tc>
        <w:tc>
          <w:tcPr>
            <w:tcW w:w="1565" w:type="dxa"/>
            <w:tcBorders>
              <w:tl2br w:val="nil"/>
              <w:tr2bl w:val="nil"/>
            </w:tcBorders>
            <w:vAlign w:val="center"/>
          </w:tcPr>
          <w:p w14:paraId="7D86DC5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17.3.2</w:t>
            </w:r>
          </w:p>
        </w:tc>
        <w:tc>
          <w:tcPr>
            <w:tcW w:w="7475" w:type="dxa"/>
            <w:tcBorders>
              <w:tl2br w:val="nil"/>
              <w:tr2bl w:val="nil"/>
            </w:tcBorders>
            <w:vAlign w:val="center"/>
          </w:tcPr>
          <w:p w14:paraId="2B96CA77">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承包人在每个付款周期末向监理人提交进度付款申请单的份数： 5 份</w:t>
            </w:r>
          </w:p>
        </w:tc>
      </w:tr>
      <w:tr w14:paraId="4966C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3219378C">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w:t>
            </w:r>
          </w:p>
        </w:tc>
        <w:tc>
          <w:tcPr>
            <w:tcW w:w="1565" w:type="dxa"/>
            <w:tcBorders>
              <w:tl2br w:val="nil"/>
              <w:tr2bl w:val="nil"/>
            </w:tcBorders>
            <w:vAlign w:val="center"/>
          </w:tcPr>
          <w:p w14:paraId="46B5DF3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17.3.3（1）</w:t>
            </w:r>
          </w:p>
        </w:tc>
        <w:tc>
          <w:tcPr>
            <w:tcW w:w="7475" w:type="dxa"/>
            <w:tcBorders>
              <w:tl2br w:val="nil"/>
              <w:tr2bl w:val="nil"/>
            </w:tcBorders>
            <w:vAlign w:val="center"/>
          </w:tcPr>
          <w:p w14:paraId="39F0E458">
            <w:pPr>
              <w:keepNext w:val="0"/>
              <w:keepLines w:val="0"/>
              <w:pageBreakBefore w:val="0"/>
              <w:widowControl w:val="0"/>
              <w:kinsoku/>
              <w:wordWrap/>
              <w:overflowPunct/>
              <w:topLinePunct w:val="0"/>
              <w:autoSpaceDE w:val="0"/>
              <w:autoSpaceDN w:val="0"/>
              <w:bidi w:val="0"/>
              <w:snapToGrid w:val="0"/>
              <w:spacing w:line="240" w:lineRule="auto"/>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进度付款证书最低限额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万元</w:t>
            </w:r>
          </w:p>
        </w:tc>
      </w:tr>
      <w:tr w14:paraId="58F63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3DE0AD3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w:t>
            </w:r>
          </w:p>
        </w:tc>
        <w:tc>
          <w:tcPr>
            <w:tcW w:w="1565" w:type="dxa"/>
            <w:tcBorders>
              <w:tl2br w:val="nil"/>
              <w:tr2bl w:val="nil"/>
            </w:tcBorders>
            <w:vAlign w:val="center"/>
          </w:tcPr>
          <w:p w14:paraId="6E93B72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17.3.3（2）</w:t>
            </w:r>
          </w:p>
        </w:tc>
        <w:tc>
          <w:tcPr>
            <w:tcW w:w="7475" w:type="dxa"/>
            <w:tcBorders>
              <w:tl2br w:val="nil"/>
              <w:tr2bl w:val="nil"/>
            </w:tcBorders>
            <w:vAlign w:val="center"/>
          </w:tcPr>
          <w:p w14:paraId="0A1C872A">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逾期付款违约金的利率：</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‰/天</w:t>
            </w:r>
          </w:p>
        </w:tc>
      </w:tr>
      <w:tr w14:paraId="5F703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1" w:type="dxa"/>
            <w:tcBorders>
              <w:tl2br w:val="nil"/>
              <w:tr2bl w:val="nil"/>
            </w:tcBorders>
            <w:vAlign w:val="center"/>
          </w:tcPr>
          <w:p w14:paraId="25B10C2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w:t>
            </w:r>
          </w:p>
        </w:tc>
        <w:tc>
          <w:tcPr>
            <w:tcW w:w="1565" w:type="dxa"/>
            <w:tcBorders>
              <w:tl2br w:val="nil"/>
              <w:tr2bl w:val="nil"/>
            </w:tcBorders>
            <w:vAlign w:val="center"/>
          </w:tcPr>
          <w:p w14:paraId="00B74014">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17.4.1</w:t>
            </w:r>
          </w:p>
        </w:tc>
        <w:tc>
          <w:tcPr>
            <w:tcW w:w="7475" w:type="dxa"/>
            <w:tcBorders>
              <w:tl2br w:val="nil"/>
              <w:tr2bl w:val="nil"/>
            </w:tcBorders>
            <w:vAlign w:val="center"/>
          </w:tcPr>
          <w:p w14:paraId="45302CEB">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质量保证金金额：</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 </w:t>
            </w:r>
          </w:p>
        </w:tc>
      </w:tr>
      <w:tr w14:paraId="11BAF2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818A39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21</w:t>
            </w:r>
          </w:p>
        </w:tc>
        <w:tc>
          <w:tcPr>
            <w:tcW w:w="1565" w:type="dxa"/>
            <w:tcBorders>
              <w:tl2br w:val="nil"/>
              <w:tr2bl w:val="nil"/>
            </w:tcBorders>
            <w:vAlign w:val="center"/>
          </w:tcPr>
          <w:p w14:paraId="7FEB4ECE">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17.5.1（1）</w:t>
            </w:r>
          </w:p>
        </w:tc>
        <w:tc>
          <w:tcPr>
            <w:tcW w:w="7475" w:type="dxa"/>
            <w:tcBorders>
              <w:tl2br w:val="nil"/>
              <w:tr2bl w:val="nil"/>
            </w:tcBorders>
            <w:vAlign w:val="center"/>
          </w:tcPr>
          <w:p w14:paraId="2809BAA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承包人向监理人提交交工付款申请单（包括相关证明材料）的份数：</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5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w:t>
            </w:r>
          </w:p>
        </w:tc>
      </w:tr>
      <w:tr w14:paraId="5C836E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19EA0CF7">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22</w:t>
            </w:r>
          </w:p>
        </w:tc>
        <w:tc>
          <w:tcPr>
            <w:tcW w:w="1565" w:type="dxa"/>
            <w:tcBorders>
              <w:tl2br w:val="nil"/>
              <w:tr2bl w:val="nil"/>
            </w:tcBorders>
            <w:vAlign w:val="center"/>
          </w:tcPr>
          <w:p w14:paraId="2E3C345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17.6.1（1）</w:t>
            </w:r>
          </w:p>
        </w:tc>
        <w:tc>
          <w:tcPr>
            <w:tcW w:w="7475" w:type="dxa"/>
            <w:tcBorders>
              <w:tl2br w:val="nil"/>
              <w:tr2bl w:val="nil"/>
            </w:tcBorders>
            <w:vAlign w:val="center"/>
          </w:tcPr>
          <w:p w14:paraId="20DB72C7">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承包人向监理人提交最终结清申请单（包括相关证明材料）的份数：</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5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w:t>
            </w:r>
          </w:p>
        </w:tc>
      </w:tr>
      <w:tr w14:paraId="2A16A4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49125EB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23</w:t>
            </w:r>
          </w:p>
        </w:tc>
        <w:tc>
          <w:tcPr>
            <w:tcW w:w="1565" w:type="dxa"/>
            <w:tcBorders>
              <w:tl2br w:val="nil"/>
              <w:tr2bl w:val="nil"/>
            </w:tcBorders>
            <w:vAlign w:val="center"/>
          </w:tcPr>
          <w:p w14:paraId="4DBB73E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18.2（2）</w:t>
            </w:r>
          </w:p>
        </w:tc>
        <w:tc>
          <w:tcPr>
            <w:tcW w:w="7475" w:type="dxa"/>
            <w:tcBorders>
              <w:tl2br w:val="nil"/>
              <w:tr2bl w:val="nil"/>
            </w:tcBorders>
            <w:vAlign w:val="center"/>
          </w:tcPr>
          <w:p w14:paraId="68A5EA0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竣工资料的份数：5份</w:t>
            </w:r>
          </w:p>
        </w:tc>
      </w:tr>
      <w:tr w14:paraId="2249C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8976DBA">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24</w:t>
            </w:r>
          </w:p>
        </w:tc>
        <w:tc>
          <w:tcPr>
            <w:tcW w:w="1565" w:type="dxa"/>
            <w:tcBorders>
              <w:tl2br w:val="nil"/>
              <w:tr2bl w:val="nil"/>
            </w:tcBorders>
            <w:vAlign w:val="center"/>
          </w:tcPr>
          <w:p w14:paraId="0A69F22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18.5.1</w:t>
            </w:r>
          </w:p>
        </w:tc>
        <w:tc>
          <w:tcPr>
            <w:tcW w:w="7475" w:type="dxa"/>
            <w:tcBorders>
              <w:tl2br w:val="nil"/>
              <w:tr2bl w:val="nil"/>
            </w:tcBorders>
            <w:vAlign w:val="center"/>
          </w:tcPr>
          <w:p w14:paraId="24D1F07C">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单位工程或工程设备是否需投入施工期运行：否</w:t>
            </w:r>
          </w:p>
        </w:tc>
      </w:tr>
      <w:tr w14:paraId="0A5E14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685E6B7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25</w:t>
            </w:r>
          </w:p>
        </w:tc>
        <w:tc>
          <w:tcPr>
            <w:tcW w:w="1565" w:type="dxa"/>
            <w:tcBorders>
              <w:tl2br w:val="nil"/>
              <w:tr2bl w:val="nil"/>
            </w:tcBorders>
            <w:vAlign w:val="center"/>
          </w:tcPr>
          <w:p w14:paraId="799D0C4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18.6.1</w:t>
            </w:r>
          </w:p>
        </w:tc>
        <w:tc>
          <w:tcPr>
            <w:tcW w:w="7475" w:type="dxa"/>
            <w:tcBorders>
              <w:tl2br w:val="nil"/>
              <w:tr2bl w:val="nil"/>
            </w:tcBorders>
            <w:vAlign w:val="center"/>
          </w:tcPr>
          <w:p w14:paraId="351ECAB6">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本工程及工程设备是否进行试运行：否</w:t>
            </w:r>
          </w:p>
        </w:tc>
      </w:tr>
      <w:tr w14:paraId="606233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28D60BC1">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26</w:t>
            </w:r>
          </w:p>
        </w:tc>
        <w:tc>
          <w:tcPr>
            <w:tcW w:w="1565" w:type="dxa"/>
            <w:tcBorders>
              <w:tl2br w:val="nil"/>
              <w:tr2bl w:val="nil"/>
            </w:tcBorders>
            <w:vAlign w:val="center"/>
          </w:tcPr>
          <w:p w14:paraId="372A1D68">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19.7（1）</w:t>
            </w:r>
          </w:p>
        </w:tc>
        <w:tc>
          <w:tcPr>
            <w:tcW w:w="7475" w:type="dxa"/>
            <w:tcBorders>
              <w:tl2br w:val="nil"/>
              <w:tr2bl w:val="nil"/>
            </w:tcBorders>
            <w:vAlign w:val="center"/>
          </w:tcPr>
          <w:p w14:paraId="64F47E31">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保修期：自实际交工日期起计算</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2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w:t>
            </w:r>
          </w:p>
        </w:tc>
      </w:tr>
      <w:tr w14:paraId="2C0E7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1" w:type="dxa"/>
            <w:tcBorders>
              <w:tl2br w:val="nil"/>
              <w:tr2bl w:val="nil"/>
            </w:tcBorders>
            <w:vAlign w:val="center"/>
          </w:tcPr>
          <w:p w14:paraId="094632E0">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27</w:t>
            </w:r>
          </w:p>
        </w:tc>
        <w:tc>
          <w:tcPr>
            <w:tcW w:w="1565" w:type="dxa"/>
            <w:tcBorders>
              <w:tl2br w:val="nil"/>
              <w:tr2bl w:val="nil"/>
            </w:tcBorders>
            <w:vAlign w:val="center"/>
          </w:tcPr>
          <w:p w14:paraId="71AAA356">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20.1</w:t>
            </w:r>
          </w:p>
        </w:tc>
        <w:tc>
          <w:tcPr>
            <w:tcW w:w="7475" w:type="dxa"/>
            <w:tcBorders>
              <w:tl2br w:val="nil"/>
              <w:tr2bl w:val="nil"/>
            </w:tcBorders>
            <w:vAlign w:val="center"/>
          </w:tcPr>
          <w:p w14:paraId="3D763FD6">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000FF"/>
                <w:sz w:val="22"/>
              </w:rPr>
            </w:pPr>
            <w:r>
              <w:rPr>
                <w:rFonts w:hint="eastAsia" w:ascii="仿宋" w:hAnsi="仿宋" w:eastAsia="仿宋" w:cs="仿宋"/>
                <w:color w:val="auto"/>
                <w:sz w:val="22"/>
              </w:rPr>
              <w:t>建筑工程一切险的保险费率：第200章至第700章合计的</w:t>
            </w:r>
            <w:r>
              <w:rPr>
                <w:rFonts w:hint="eastAsia" w:ascii="仿宋" w:hAnsi="仿宋" w:eastAsia="仿宋" w:cs="仿宋"/>
                <w:color w:val="auto"/>
                <w:sz w:val="22"/>
                <w:u w:val="single"/>
              </w:rPr>
              <w:t xml:space="preserve"> </w:t>
            </w:r>
            <w:r>
              <w:rPr>
                <w:rFonts w:hint="eastAsia" w:ascii="仿宋" w:hAnsi="仿宋" w:eastAsia="仿宋" w:cs="仿宋"/>
                <w:color w:val="auto"/>
                <w:sz w:val="22"/>
                <w:u w:val="single"/>
                <w:lang w:val="en-US" w:eastAsia="zh-CN"/>
              </w:rPr>
              <w:t>0.3</w:t>
            </w:r>
            <w:r>
              <w:rPr>
                <w:rFonts w:hint="eastAsia" w:ascii="仿宋" w:hAnsi="仿宋" w:eastAsia="仿宋" w:cs="仿宋"/>
                <w:color w:val="auto"/>
                <w:sz w:val="22"/>
                <w:u w:val="single"/>
              </w:rPr>
              <w:t xml:space="preserve"> %</w:t>
            </w:r>
            <w:r>
              <w:rPr>
                <w:rFonts w:hint="eastAsia" w:ascii="仿宋" w:hAnsi="仿宋" w:eastAsia="仿宋" w:cs="仿宋"/>
                <w:color w:val="auto"/>
                <w:sz w:val="22"/>
              </w:rPr>
              <w:t>计取</w:t>
            </w:r>
          </w:p>
        </w:tc>
      </w:tr>
      <w:tr w14:paraId="04B3B5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11" w:type="dxa"/>
            <w:tcBorders>
              <w:tl2br w:val="nil"/>
              <w:tr2bl w:val="nil"/>
            </w:tcBorders>
            <w:vAlign w:val="center"/>
          </w:tcPr>
          <w:p w14:paraId="2CCF1066">
            <w:pPr>
              <w:autoSpaceDE w:val="0"/>
              <w:autoSpaceDN w:val="0"/>
              <w:snapToGrid w:val="0"/>
              <w:spacing w:line="276" w:lineRule="auto"/>
              <w:jc w:val="cente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w:t>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8</w:t>
            </w:r>
          </w:p>
        </w:tc>
        <w:tc>
          <w:tcPr>
            <w:tcW w:w="1565" w:type="dxa"/>
            <w:tcBorders>
              <w:tl2br w:val="nil"/>
              <w:tr2bl w:val="nil"/>
            </w:tcBorders>
            <w:vAlign w:val="center"/>
          </w:tcPr>
          <w:p w14:paraId="164CC799">
            <w:pPr>
              <w:autoSpaceDE w:val="0"/>
              <w:autoSpaceDN w:val="0"/>
              <w:snapToGrid w:val="0"/>
              <w:spacing w:line="276" w:lineRule="auto"/>
              <w:jc w:val="center"/>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24.1</w:t>
            </w:r>
          </w:p>
        </w:tc>
        <w:tc>
          <w:tcPr>
            <w:tcW w:w="7475" w:type="dxa"/>
            <w:tcBorders>
              <w:tl2br w:val="nil"/>
              <w:tr2bl w:val="nil"/>
            </w:tcBorders>
            <w:vAlign w:val="center"/>
          </w:tcPr>
          <w:p w14:paraId="1BCAA85D">
            <w:pPr>
              <w:keepNext w:val="0"/>
              <w:keepLines w:val="0"/>
              <w:pageBreakBefore w:val="0"/>
              <w:widowControl w:val="0"/>
              <w:kinsoku/>
              <w:wordWrap/>
              <w:overflowPunct/>
              <w:topLinePunct w:val="0"/>
              <w:autoSpaceDE w:val="0"/>
              <w:autoSpaceDN w:val="0"/>
              <w:bidi w:val="0"/>
              <w:snapToGrid w:val="0"/>
              <w:spacing w:line="240" w:lineRule="auto"/>
              <w:jc w:val="left"/>
              <w:textAlignment w:val="auto"/>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争议的最终解决方式：</w:t>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诉讼</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w:t>
            </w:r>
          </w:p>
        </w:tc>
      </w:tr>
    </w:tbl>
    <w:p w14:paraId="663F04D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6F25173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505E3FE6">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7C4CDE07">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042C38F2">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7FA89F32">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42210113">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p>
    <w:p w14:paraId="6E783D51">
      <w:pPr>
        <w:widowControl/>
        <w:spacing w:after="200"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br w:type="page"/>
      </w:r>
    </w:p>
    <w:p w14:paraId="0AAA4A3F">
      <w:pPr>
        <w:jc w:val="center"/>
        <w:rPr>
          <w:rFonts w:hint="eastAsia" w:ascii="仿宋" w:hAnsi="仿宋" w:eastAsia="仿宋" w:cs="仿宋"/>
          <w:b/>
          <w:color w:val="0D0D0D" w:themeColor="text1" w:themeTint="F2"/>
          <w:sz w:val="24"/>
          <w:szCs w:val="21"/>
          <w14:textFill>
            <w14:solidFill>
              <w14:schemeClr w14:val="tx1">
                <w14:lumMod w14:val="95000"/>
                <w14:lumOff w14:val="5000"/>
              </w14:schemeClr>
            </w14:solidFill>
          </w14:textFill>
        </w:rPr>
      </w:pPr>
      <w:bookmarkStart w:id="4" w:name="_Toc120443088"/>
      <w:bookmarkStart w:id="5" w:name="_Toc139463629"/>
      <w:bookmarkStart w:id="6" w:name="_Toc139464394"/>
      <w:bookmarkStart w:id="7" w:name="_Toc139462830"/>
      <w:r>
        <w:rPr>
          <w:rFonts w:hint="eastAsia" w:ascii="仿宋" w:hAnsi="仿宋" w:eastAsia="仿宋" w:cs="仿宋"/>
          <w:b/>
          <w:color w:val="0D0D0D" w:themeColor="text1" w:themeTint="F2"/>
          <w:sz w:val="24"/>
          <w:szCs w:val="21"/>
          <w14:textFill>
            <w14:solidFill>
              <w14:schemeClr w14:val="tx1">
                <w14:lumMod w14:val="95000"/>
                <w14:lumOff w14:val="5000"/>
              </w14:schemeClr>
            </w14:solidFill>
          </w14:textFill>
        </w:rPr>
        <w:t>第三节　合同附件格式</w:t>
      </w:r>
      <w:bookmarkEnd w:id="4"/>
      <w:bookmarkEnd w:id="5"/>
      <w:bookmarkEnd w:id="6"/>
      <w:bookmarkEnd w:id="7"/>
    </w:p>
    <w:p w14:paraId="79A7755E">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8" w:name="_Toc139463630"/>
      <w:bookmarkStart w:id="9" w:name="_Toc139464395"/>
      <w:bookmarkStart w:id="10" w:name="_Toc152042547"/>
      <w:bookmarkStart w:id="11" w:name="_Toc152045768"/>
      <w:bookmarkStart w:id="12" w:name="_Toc139462831"/>
      <w:bookmarkStart w:id="13" w:name="_Toc508699219"/>
      <w:bookmarkStart w:id="14" w:name="_Toc141945350"/>
      <w:bookmarkStart w:id="15" w:name="_Toc144974827"/>
      <w:bookmarkStart w:id="16" w:name="_Toc508705451"/>
      <w:bookmarkStart w:id="17" w:name="_Toc179632786"/>
      <w:bookmarkStart w:id="18" w:name="_Toc492453816"/>
      <w:bookmarkStart w:id="19" w:name="_Toc120443089"/>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附件一：合同协议书</w:t>
      </w:r>
      <w:bookmarkEnd w:id="8"/>
      <w:bookmarkEnd w:id="9"/>
      <w:bookmarkEnd w:id="10"/>
      <w:bookmarkEnd w:id="11"/>
      <w:bookmarkEnd w:id="12"/>
      <w:bookmarkEnd w:id="13"/>
      <w:bookmarkEnd w:id="14"/>
      <w:bookmarkEnd w:id="15"/>
      <w:bookmarkEnd w:id="16"/>
      <w:bookmarkEnd w:id="17"/>
      <w:bookmarkEnd w:id="18"/>
      <w:bookmarkEnd w:id="19"/>
    </w:p>
    <w:p w14:paraId="4962A1BE">
      <w:pPr>
        <w:jc w:val="center"/>
        <w:rPr>
          <w:rFonts w:hint="eastAsia" w:ascii="仿宋" w:hAnsi="仿宋" w:eastAsia="仿宋" w:cs="仿宋"/>
          <w:color w:val="0D0D0D" w:themeColor="text1" w:themeTint="F2"/>
          <w:sz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14:textFill>
            <w14:solidFill>
              <w14:schemeClr w14:val="tx1">
                <w14:lumMod w14:val="95000"/>
                <w14:lumOff w14:val="5000"/>
              </w14:schemeClr>
            </w14:solidFill>
          </w14:textFill>
        </w:rPr>
        <w:t>合同协议书</w:t>
      </w:r>
    </w:p>
    <w:p w14:paraId="20171C52">
      <w:pPr>
        <w:widowControl/>
        <w:adjustRightInd w:val="0"/>
        <w:ind w:firstLine="660" w:firstLineChars="3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（发包人名称，以下简称“发包人”）为实施</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（项目名称），已接受</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（承包人名称，以下简称“承包人”）对该项目</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施工的投标。发包人和承包人共同达成如下协议。</w:t>
      </w:r>
    </w:p>
    <w:p w14:paraId="0C8D6757">
      <w:pPr>
        <w:widowControl/>
        <w:adjustRightInd w:val="0"/>
        <w:ind w:left="315" w:leftChars="150" w:firstLine="110" w:firstLineChars="5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1．项目概况：该项目</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，起止桩号为K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至K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K</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，公路等级为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，设计速度为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路面，长约</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km。</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p>
    <w:p w14:paraId="39F0736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2. 下列文件应视为构成合同文件的组成部分：</w:t>
      </w:r>
    </w:p>
    <w:p w14:paraId="3C5E6D7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（1）本协议书及各种合同附件（含评标期间和合同协商过程中的澄清文件和补充资料）；</w:t>
      </w:r>
    </w:p>
    <w:p w14:paraId="780CF6D9">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（2）中标通知书；</w:t>
      </w:r>
    </w:p>
    <w:p w14:paraId="4A071DAC">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（3）补遗书；</w:t>
      </w:r>
    </w:p>
    <w:p w14:paraId="18F2AF29">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（4）投标函；</w:t>
      </w:r>
    </w:p>
    <w:p w14:paraId="1513ABA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（5）项目专用合同条款；</w:t>
      </w:r>
    </w:p>
    <w:p w14:paraId="3330092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（6）公路工程专用合同条款；</w:t>
      </w:r>
    </w:p>
    <w:p w14:paraId="0BA54F4B">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（7）通用合同条款；</w:t>
      </w:r>
    </w:p>
    <w:p w14:paraId="641A86D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（8）技术规范；</w:t>
      </w:r>
    </w:p>
    <w:p w14:paraId="5FCC6140">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（9）图纸；</w:t>
      </w:r>
    </w:p>
    <w:p w14:paraId="670552F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（10）已标价工程量清单；</w:t>
      </w:r>
    </w:p>
    <w:p w14:paraId="0A69E096">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（11）承包人有关人员、设备投入的承诺</w:t>
      </w:r>
    </w:p>
    <w:p w14:paraId="1D25E83A">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（12）其他合同文件。</w:t>
      </w:r>
    </w:p>
    <w:p w14:paraId="43F35375">
      <w:pPr>
        <w:adjustRightInd w:val="0"/>
        <w:ind w:firstLine="440" w:firstLineChars="200"/>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上述合同文件互相补充和解释，如果合同文件之间存在矛盾或不一致之处，以合同约定次序在先者为准。</w:t>
      </w:r>
    </w:p>
    <w:p w14:paraId="779B477C">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3. 根据工程量清单所列的预计数量和单价或总额价计算的签约合同价：人民币（大写）</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元（¥</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元</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w:t>
      </w:r>
    </w:p>
    <w:p w14:paraId="0647916F">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4. 承包人项目经理：</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。承包人项目总工：</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w:t>
      </w:r>
    </w:p>
    <w:p w14:paraId="4F67819F">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5.工程质量符合</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标准。工程安全目标：</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p>
    <w:p w14:paraId="189E9B5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6. 承包人承诺按合同约定承担工程的实施、完成及缺陷修复。</w:t>
      </w:r>
    </w:p>
    <w:p w14:paraId="5CBFAF4A">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7. 发包人承诺按合同约定的条件、时间和方式向承包人支付合同价款。</w:t>
      </w:r>
    </w:p>
    <w:p w14:paraId="39498DF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8. 承包人应按照监理人指示开工，工期为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日历天。</w:t>
      </w:r>
    </w:p>
    <w:p w14:paraId="129D4438">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9. 在施工过程中因施工引起的外界纠纷由承包人自行解决。</w:t>
      </w:r>
    </w:p>
    <w:p w14:paraId="29099694">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10. 本协议书在承包人提供履约担保后，由双方法定代表人或其委托代理人签署并加盖单位章后生效。全部工程完工后经竣交工验收合格、缺陷责任期满签发缺陷责任终止证书后生效。</w:t>
      </w:r>
    </w:p>
    <w:p w14:paraId="7585CE9D">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11.本协议书正本二份、副本</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份，合同双方各执正本一份，副本</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份，当正本与副本的内容不一致时，以正本为准。</w:t>
      </w:r>
    </w:p>
    <w:p w14:paraId="10996FD5">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12.本合同未尽事宜，另行签订补充协议。补充协议是合同的组成部分。</w:t>
      </w:r>
    </w:p>
    <w:p w14:paraId="14D1950C">
      <w:pPr>
        <w:widowControl/>
        <w:adjustRightInd w:val="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p>
    <w:p w14:paraId="068E7D41">
      <w:pPr>
        <w:widowControl/>
        <w:adjustRightInd w:val="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发包人：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承包人：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p>
    <w:p w14:paraId="1BE13D34">
      <w:pPr>
        <w:widowControl/>
        <w:adjustRightInd w:val="0"/>
        <w:ind w:firstLine="440" w:firstLineChars="200"/>
        <w:jc w:val="left"/>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法定代表人</w:t>
      </w:r>
      <w:r>
        <w:rPr>
          <w:rFonts w:hint="eastAsia" w:ascii="仿宋" w:hAnsi="仿宋" w:eastAsia="仿宋" w:cs="仿宋"/>
          <w:color w:val="0D0D0D" w:themeColor="text1" w:themeTint="F2"/>
          <w:kern w:val="96"/>
          <w:sz w:val="22"/>
          <w:szCs w:val="21"/>
          <w:lang w:eastAsia="zh-CN"/>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法定代表人</w:t>
      </w:r>
      <w:r>
        <w:rPr>
          <w:rFonts w:hint="eastAsia" w:ascii="仿宋" w:hAnsi="仿宋" w:eastAsia="仿宋" w:cs="仿宋"/>
          <w:color w:val="0D0D0D" w:themeColor="text1" w:themeTint="F2"/>
          <w:kern w:val="96"/>
          <w:sz w:val="22"/>
          <w:szCs w:val="21"/>
          <w:lang w:eastAsia="zh-CN"/>
          <w14:textFill>
            <w14:solidFill>
              <w14:schemeClr w14:val="tx1">
                <w14:lumMod w14:val="95000"/>
                <w14:lumOff w14:val="5000"/>
              </w14:schemeClr>
            </w14:solidFill>
          </w14:textFill>
        </w:rPr>
        <w:t>：</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p>
    <w:p w14:paraId="03AB21D1">
      <w:pPr>
        <w:widowControl/>
        <w:adjustRightInd w:val="0"/>
        <w:spacing w:after="200"/>
        <w:ind w:firstLine="440" w:firstLineChars="200"/>
        <w:jc w:val="left"/>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或其委托代理人：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或其委托代理人：</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p>
    <w:p w14:paraId="5FD628C3">
      <w:pPr>
        <w:widowControl/>
        <w:adjustRightInd w:val="0"/>
        <w:snapToGrid w:val="0"/>
        <w:spacing w:after="200"/>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年</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月</w:t>
      </w:r>
      <w:r>
        <w:rPr>
          <w:rFonts w:hint="eastAsia" w:ascii="仿宋" w:hAnsi="仿宋" w:eastAsia="仿宋" w:cs="仿宋"/>
          <w:color w:val="0D0D0D" w:themeColor="text1" w:themeTint="F2"/>
          <w:kern w:val="96"/>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96"/>
          <w:sz w:val="22"/>
          <w:szCs w:val="21"/>
          <w14:textFill>
            <w14:solidFill>
              <w14:schemeClr w14:val="tx1">
                <w14:lumMod w14:val="95000"/>
                <w14:lumOff w14:val="5000"/>
              </w14:schemeClr>
            </w14:solidFill>
          </w14:textFill>
        </w:rPr>
        <w:t>日</w:t>
      </w:r>
    </w:p>
    <w:p w14:paraId="5F09FE06">
      <w:pPr>
        <w:rPr>
          <w:rFonts w:hint="eastAsia" w:ascii="仿宋" w:hAnsi="仿宋" w:eastAsia="仿宋" w:cs="仿宋"/>
          <w:b/>
          <w:bCs/>
          <w:color w:val="0D0D0D" w:themeColor="text1" w:themeTint="F2"/>
          <w:kern w:val="0"/>
          <w:sz w:val="24"/>
          <w14:textFill>
            <w14:solidFill>
              <w14:schemeClr w14:val="tx1">
                <w14:lumMod w14:val="95000"/>
                <w14:lumOff w14:val="5000"/>
              </w14:schemeClr>
            </w14:solidFill>
          </w14:textFill>
        </w:rPr>
      </w:pPr>
      <w:r>
        <w:rPr>
          <w:rFonts w:hint="eastAsia" w:ascii="仿宋" w:hAnsi="仿宋" w:eastAsia="仿宋" w:cs="仿宋"/>
          <w:b/>
          <w:bCs/>
          <w:color w:val="0D0D0D" w:themeColor="text1" w:themeTint="F2"/>
          <w:kern w:val="0"/>
          <w:sz w:val="24"/>
          <w14:textFill>
            <w14:solidFill>
              <w14:schemeClr w14:val="tx1">
                <w14:lumMod w14:val="95000"/>
                <w14:lumOff w14:val="5000"/>
              </w14:schemeClr>
            </w14:solidFill>
          </w14:textFill>
        </w:rPr>
        <w:br w:type="page"/>
      </w:r>
    </w:p>
    <w:p w14:paraId="5A470007">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20" w:name="_Toc141945351"/>
      <w:bookmarkStart w:id="21" w:name="_Toc139464396"/>
      <w:bookmarkStart w:id="22" w:name="_Toc139463631"/>
      <w:bookmarkStart w:id="23" w:name="_Toc139462832"/>
      <w:bookmarkStart w:id="24" w:name="_Toc120443090"/>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附件二　廉政合同</w:t>
      </w:r>
      <w:bookmarkEnd w:id="20"/>
      <w:bookmarkEnd w:id="21"/>
      <w:bookmarkEnd w:id="22"/>
      <w:bookmarkEnd w:id="23"/>
      <w:bookmarkEnd w:id="24"/>
    </w:p>
    <w:p w14:paraId="45AA45CD">
      <w:pPr>
        <w:widowControl/>
        <w:spacing w:line="276" w:lineRule="auto"/>
        <w:jc w:val="cente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8"/>
          <w:szCs w:val="28"/>
          <w14:textFill>
            <w14:solidFill>
              <w14:schemeClr w14:val="tx1">
                <w14:lumMod w14:val="95000"/>
                <w14:lumOff w14:val="5000"/>
              </w14:schemeClr>
            </w14:solidFill>
          </w14:textFill>
        </w:rPr>
        <w:t>廉政合同</w:t>
      </w:r>
    </w:p>
    <w:p w14:paraId="39D5321C">
      <w:pPr>
        <w:widowControl/>
        <w:spacing w:line="276" w:lineRule="auto"/>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根据《关于在交通基础设施建设中加强廉政建设的若干意见》以及有关工程建设、廉政建设的规定，为做好工程建设中的党风廉政建设，保证工程建设高效优质，保证建设资金的安全</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和有效使用以及投资效益，</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（项目名称）</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的项目法人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（项目法人名称，以下简称“发包人”）与该项目</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标段的施工单位</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（施工单位名称，以下简称“承包人”），特订立如下合同。</w:t>
      </w:r>
    </w:p>
    <w:p w14:paraId="75794350">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1.发包人和承包人双方的权利和义务</w:t>
      </w:r>
    </w:p>
    <w:p w14:paraId="02A6DB09">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（1）严格遵守党的政策规定和国家在关法律法规及交通运输部的有关规定。</w:t>
      </w:r>
    </w:p>
    <w:p w14:paraId="67A9BFB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（2）严格执行</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（项目名称）</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标段施工合同文件，自觉按合同办事。</w:t>
      </w:r>
    </w:p>
    <w:p w14:paraId="76CF7D9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（3）双方的业务活动坚持公开、公正、诚信、透明的原则（法律认定的商业秘密和合同文件另有规定除外），不得损害国家和集体利益，不得违反工程建设管理规章制度。</w:t>
      </w:r>
    </w:p>
    <w:p w14:paraId="75205FA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（4）建立健全廉政制度，开展廉政教育，设立廉政告示牌，公布举报电话，监督并认真查处违法违纪行为。</w:t>
      </w:r>
    </w:p>
    <w:p w14:paraId="3D77E3C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（5）发现对方在业务活动中有违反廉政规定的行为，有及时提醒对方纠正的权利和义务。</w:t>
      </w:r>
    </w:p>
    <w:p w14:paraId="4CBFCFB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（6）发现对方严重违反本合同义务条款的行为，有向其上级有关部门举报、建议给予处理并要求告知处理结果的权利。</w:t>
      </w:r>
    </w:p>
    <w:p w14:paraId="6697B3EA">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2.发包人的义务</w:t>
      </w:r>
    </w:p>
    <w:p w14:paraId="1E91059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（1）发包人及其工作人员不得索要或接受承包人的礼金、有价证券和贵重物品，不得让承包人报销任何应由发包人或发包人工作人员个人支付的费用等。</w:t>
      </w:r>
    </w:p>
    <w:p w14:paraId="0CB62D3A">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（2）发包人工作人员不得参加承包人安排的超标准宴请和娱乐活动；不得接受承包人提供的通讯工具、交通工具和高档办公用品等。</w:t>
      </w:r>
    </w:p>
    <w:p w14:paraId="0C0FE363">
      <w:pPr>
        <w:widowControl/>
        <w:spacing w:line="276" w:lineRule="auto"/>
        <w:ind w:firstLine="550" w:firstLineChars="25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（3）发包人及其工作人员不得要求或者接受承包人为其住房装修、婚丧嫁娶活动、配偶子女的工作安排以及出国出境、旅游等提供方便等。</w:t>
      </w:r>
    </w:p>
    <w:p w14:paraId="5C065615">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（4）发包人工作人员及其配偶、子女不得从事与发包人工程有关的材料设备供应、工程分包、劳务等经济活动等。</w:t>
      </w:r>
    </w:p>
    <w:p w14:paraId="6AE21F2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（5）发包人及其工作人员不得以任何理由向承包人推荐分包单位或推销材料，不得要求承包人购买合同规定外的材料和设备。</w:t>
      </w:r>
    </w:p>
    <w:p w14:paraId="36EE24E7">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（6）发包人工作人员要秉公办事，不准营私舞弊，不准利用职权从事各种个人有偿中介活动和安排个人施工队伍。</w:t>
      </w:r>
    </w:p>
    <w:p w14:paraId="62D914DF">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3.承包人义务</w:t>
      </w:r>
    </w:p>
    <w:p w14:paraId="0C97754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（1）承包人不得以任何理由向发包人及其工作人员行贿或馈赠礼金、有价证券、贵重礼品。</w:t>
      </w:r>
    </w:p>
    <w:p w14:paraId="5FCD3F0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（2）承包人不得以任何名义为发包人及其工作人员报销应由发包人单位或个人支付的任何费用。</w:t>
      </w:r>
    </w:p>
    <w:p w14:paraId="4DFDB25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（3）承包人不得以任何理由安排发包人工作人员参加超标准宴请及娱乐活动。</w:t>
      </w:r>
    </w:p>
    <w:p w14:paraId="2DA7852D">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（4）承包人不得为发包人单位和个人购置或提供通讯工具、交通工具和高档办公用品等。</w:t>
      </w:r>
    </w:p>
    <w:p w14:paraId="3029F7D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4.违约责任</w:t>
      </w:r>
    </w:p>
    <w:p w14:paraId="139F475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（1）发包人及其工作人员违反本合同第1、2条，按管理权限，依据有关规定给予党纪、政纪或组织处理；涉嫌犯罪的，移交司法机关追究刑事责任；给承包人单位造成经济损失的，应予以赔偿。</w:t>
      </w:r>
    </w:p>
    <w:p w14:paraId="0F7BEAE8">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16EB35C5">
      <w:pPr>
        <w:widowControl/>
        <w:spacing w:line="276" w:lineRule="auto"/>
        <w:ind w:firstLine="440" w:firstLineChars="2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1BC29462">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6.本合同有效期为发包人和承包人签署之日起至该工程项目竣工验收后止。</w:t>
      </w:r>
    </w:p>
    <w:p w14:paraId="36120536">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7.本合同作为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（项目名称</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标段施工合同的附件，与工程施工合同具有同等的法律效力，经合同双方签署后立即生效。</w:t>
      </w:r>
    </w:p>
    <w:p w14:paraId="46C67611">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8.本合同一式四份，由发包人和承包人各执一份，送交发包人和承包人的监督单位各一份。</w:t>
      </w:r>
    </w:p>
    <w:p w14:paraId="24526E53">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48AE055C">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发包人：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     承包人：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（盖单位章）</w:t>
      </w:r>
    </w:p>
    <w:p w14:paraId="05C7963C">
      <w:pPr>
        <w:widowControl/>
        <w:spacing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    法定代表人或其委托代理人：</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（签字）</w:t>
      </w:r>
    </w:p>
    <w:p w14:paraId="06987720">
      <w:pPr>
        <w:widowControl/>
        <w:spacing w:line="276" w:lineRule="auto"/>
        <w:ind w:firstLine="1320" w:firstLineChars="60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xml:space="preserve">        　　　　　  </w:t>
      </w:r>
    </w:p>
    <w:p w14:paraId="2004BF0A">
      <w:pPr>
        <w:widowControl/>
        <w:spacing w:line="276" w:lineRule="auto"/>
        <w:ind w:firstLine="6050" w:firstLineChars="2750"/>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年</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kern w:val="0"/>
          <w:sz w:val="22"/>
          <w:szCs w:val="21"/>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t>日</w:t>
      </w:r>
    </w:p>
    <w:p w14:paraId="7AF639D0">
      <w:pPr>
        <w:widowControl/>
        <w:spacing w:after="156" w:afterLines="50" w:line="276" w:lineRule="auto"/>
        <w:jc w:val="left"/>
        <w:rPr>
          <w:rFonts w:hint="eastAsia" w:ascii="仿宋" w:hAnsi="仿宋" w:eastAsia="仿宋" w:cs="仿宋"/>
          <w:color w:val="0D0D0D" w:themeColor="text1" w:themeTint="F2"/>
          <w:kern w:val="0"/>
          <w:szCs w:val="21"/>
          <w14:textFill>
            <w14:solidFill>
              <w14:schemeClr w14:val="tx1">
                <w14:lumMod w14:val="95000"/>
                <w14:lumOff w14:val="5000"/>
              </w14:schemeClr>
            </w14:solidFill>
          </w14:textFill>
        </w:rPr>
      </w:pPr>
    </w:p>
    <w:p w14:paraId="7EA7CCB2">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1383C455">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2E7C0ABA">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0EA4B908">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50E7F6B6">
      <w:pPr>
        <w:widowControl/>
        <w:spacing w:after="156" w:afterLines="50" w:line="276" w:lineRule="auto"/>
        <w:jc w:val="left"/>
        <w:rPr>
          <w:rFonts w:hint="eastAsia" w:ascii="仿宋" w:hAnsi="仿宋" w:eastAsia="仿宋" w:cs="仿宋"/>
          <w:color w:val="0D0D0D" w:themeColor="text1" w:themeTint="F2"/>
          <w:kern w:val="0"/>
          <w:sz w:val="22"/>
          <w:szCs w:val="21"/>
          <w14:textFill>
            <w14:solidFill>
              <w14:schemeClr w14:val="tx1">
                <w14:lumMod w14:val="95000"/>
                <w14:lumOff w14:val="5000"/>
              </w14:schemeClr>
            </w14:solidFill>
          </w14:textFill>
        </w:rPr>
      </w:pPr>
    </w:p>
    <w:p w14:paraId="3064E951">
      <w:pPr>
        <w:pStyle w:val="3"/>
        <w:ind w:firstLine="420"/>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2053081E">
      <w:pPr>
        <w:pStyle w:val="5"/>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2E419883">
      <w:pPr>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02491E4A">
      <w:pPr>
        <w:pStyle w:val="4"/>
        <w:rPr>
          <w:rFonts w:hint="eastAsia" w:ascii="仿宋" w:hAnsi="仿宋" w:eastAsia="仿宋" w:cs="仿宋"/>
        </w:rPr>
      </w:pPr>
    </w:p>
    <w:p w14:paraId="4B6CD77B">
      <w:pPr>
        <w:pStyle w:val="4"/>
        <w:rPr>
          <w:rFonts w:hint="eastAsia" w:ascii="仿宋" w:hAnsi="仿宋" w:eastAsia="仿宋" w:cs="仿宋"/>
        </w:rPr>
      </w:pPr>
    </w:p>
    <w:p w14:paraId="7B1A8F01">
      <w:pPr>
        <w:pStyle w:val="4"/>
        <w:rPr>
          <w:rFonts w:hint="eastAsia" w:ascii="仿宋" w:hAnsi="仿宋" w:eastAsia="仿宋" w:cs="仿宋"/>
        </w:rPr>
      </w:pPr>
    </w:p>
    <w:p w14:paraId="28D1CDD8">
      <w:pPr>
        <w:pStyle w:val="4"/>
        <w:rPr>
          <w:rFonts w:hint="eastAsia" w:ascii="仿宋" w:hAnsi="仿宋" w:eastAsia="仿宋" w:cs="仿宋"/>
        </w:rPr>
      </w:pPr>
    </w:p>
    <w:p w14:paraId="1F853519">
      <w:pPr>
        <w:pStyle w:val="4"/>
        <w:rPr>
          <w:rFonts w:hint="eastAsia" w:ascii="仿宋" w:hAnsi="仿宋" w:eastAsia="仿宋" w:cs="仿宋"/>
        </w:rPr>
      </w:pPr>
    </w:p>
    <w:p w14:paraId="3588D54A">
      <w:pPr>
        <w:pStyle w:val="4"/>
        <w:rPr>
          <w:rFonts w:hint="eastAsia" w:ascii="仿宋" w:hAnsi="仿宋" w:eastAsia="仿宋" w:cs="仿宋"/>
        </w:rPr>
      </w:pPr>
    </w:p>
    <w:p w14:paraId="0CEDB466">
      <w:pPr>
        <w:pStyle w:val="4"/>
        <w:rPr>
          <w:rFonts w:hint="eastAsia" w:ascii="仿宋" w:hAnsi="仿宋" w:eastAsia="仿宋" w:cs="仿宋"/>
        </w:rPr>
      </w:pPr>
    </w:p>
    <w:p w14:paraId="1E2C9B41">
      <w:pPr>
        <w:pStyle w:val="4"/>
        <w:rPr>
          <w:rFonts w:hint="eastAsia" w:ascii="仿宋" w:hAnsi="仿宋" w:eastAsia="仿宋" w:cs="仿宋"/>
        </w:rPr>
      </w:pPr>
    </w:p>
    <w:p w14:paraId="39C44691">
      <w:pPr>
        <w:pStyle w:val="4"/>
        <w:rPr>
          <w:rFonts w:hint="eastAsia" w:ascii="仿宋" w:hAnsi="仿宋" w:eastAsia="仿宋" w:cs="仿宋"/>
        </w:rPr>
      </w:pPr>
    </w:p>
    <w:p w14:paraId="4FBE8E4C">
      <w:pPr>
        <w:pStyle w:val="4"/>
        <w:rPr>
          <w:rFonts w:hint="eastAsia" w:ascii="仿宋" w:hAnsi="仿宋" w:eastAsia="仿宋" w:cs="仿宋"/>
        </w:rPr>
      </w:pPr>
    </w:p>
    <w:p w14:paraId="67311B2D">
      <w:pPr>
        <w:pStyle w:val="4"/>
        <w:rPr>
          <w:rFonts w:hint="eastAsia" w:ascii="仿宋" w:hAnsi="仿宋" w:eastAsia="仿宋" w:cs="仿宋"/>
        </w:rPr>
      </w:pPr>
    </w:p>
    <w:p w14:paraId="51D6107D">
      <w:pPr>
        <w:pStyle w:val="2"/>
        <w:snapToGrid w:val="0"/>
        <w:spacing w:before="0" w:after="0" w:line="240" w:lineRule="auto"/>
        <w:ind w:firstLine="440"/>
        <w:contextualSpacing/>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pPr>
      <w:bookmarkStart w:id="25" w:name="_Toc139462833"/>
      <w:bookmarkStart w:id="26" w:name="_Toc139463632"/>
      <w:bookmarkStart w:id="27" w:name="_Toc120443091"/>
      <w:bookmarkStart w:id="28" w:name="_Toc139464397"/>
      <w:bookmarkStart w:id="29" w:name="_Toc141945352"/>
      <w:r>
        <w:rPr>
          <w:rFonts w:hint="eastAsia" w:ascii="仿宋" w:hAnsi="仿宋" w:eastAsia="仿宋" w:cs="仿宋"/>
          <w:color w:val="0D0D0D" w:themeColor="text1" w:themeTint="F2"/>
          <w:sz w:val="22"/>
          <w:szCs w:val="24"/>
          <w14:textFill>
            <w14:solidFill>
              <w14:schemeClr w14:val="tx1">
                <w14:lumMod w14:val="95000"/>
                <w14:lumOff w14:val="5000"/>
              </w14:schemeClr>
            </w14:solidFill>
          </w14:textFill>
        </w:rPr>
        <w:t>附件三　安全生产合同</w:t>
      </w:r>
      <w:bookmarkEnd w:id="25"/>
      <w:bookmarkEnd w:id="26"/>
      <w:bookmarkEnd w:id="27"/>
      <w:bookmarkEnd w:id="28"/>
      <w:bookmarkEnd w:id="29"/>
    </w:p>
    <w:p w14:paraId="0877DFB2">
      <w:pPr>
        <w:widowControl/>
        <w:spacing w:after="200" w:line="276" w:lineRule="auto"/>
        <w:jc w:val="center"/>
        <w:rPr>
          <w:rFonts w:hint="eastAsia" w:ascii="仿宋" w:hAnsi="仿宋" w:eastAsia="仿宋" w:cs="仿宋"/>
          <w:color w:val="0D0D0D" w:themeColor="text1" w:themeTint="F2"/>
          <w:kern w:val="0"/>
          <w:sz w:val="20"/>
          <w:szCs w:val="21"/>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0"/>
          <w:sz w:val="24"/>
          <w:szCs w:val="28"/>
          <w14:textFill>
            <w14:solidFill>
              <w14:schemeClr w14:val="tx1">
                <w14:lumMod w14:val="95000"/>
                <w14:lumOff w14:val="5000"/>
              </w14:schemeClr>
            </w14:solidFill>
          </w14:textFill>
        </w:rPr>
        <w:t>安全生产合同</w:t>
      </w:r>
    </w:p>
    <w:p w14:paraId="626A1EF8">
      <w:pPr>
        <w:snapToGrid w:val="0"/>
        <w:spacing w:line="360" w:lineRule="auto"/>
        <w:ind w:firstLine="431" w:firstLineChars="196"/>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为在</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（项目名称）施工合同的实施过程中创造安全、高效的施工环境，切实搞好本项目的安全管理工作，本项目发包人</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（发包人名称，以下简称“发包人”）与承包人</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u w:val="single"/>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（承包人名称，以下简称“承包人”）特此签订安全生产合同：</w:t>
      </w:r>
    </w:p>
    <w:p w14:paraId="532A6482">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1.发包人职责</w:t>
      </w:r>
    </w:p>
    <w:p w14:paraId="46383340">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 </w:t>
      </w:r>
    </w:p>
    <w:p w14:paraId="2863A329">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（2）按照“安全第一、预防为主”和坚持“管生产必须管安全”的原则进行安全生产管理，做到生产与安全工作同时计划、布置、检查、总结和评比。</w:t>
      </w:r>
    </w:p>
    <w:p w14:paraId="2B61C946">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（3）重要的安全设施必须坚持与主体工程“三同时”的原则，即：同时设计、审批，同时施工，同时验收，投入使用。</w:t>
      </w:r>
    </w:p>
    <w:p w14:paraId="1D089F28">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（4）定期召开安全生产调度会，及时传达中央及地方有关安全生产的精神。</w:t>
      </w:r>
    </w:p>
    <w:p w14:paraId="6FB8A7B7">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（5）组织对承包人施工现场进行安全生产检查，监督承包人及时处理发现的各种安全隐患。</w:t>
      </w:r>
    </w:p>
    <w:p w14:paraId="183D7B61">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（6）严格遵守国家有关安全生产的法律法规，认真执行工程承包合同中的有关安全要求。</w:t>
      </w:r>
    </w:p>
    <w:p w14:paraId="095375B6">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2.承包人职责</w:t>
      </w:r>
    </w:p>
    <w:p w14:paraId="2978D68E">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（1）严格遵守国家有关安全生产的法律法规，认真执行工程承包合同中的有关安全要求,达到“零死亡”安全管理目标。</w:t>
      </w:r>
    </w:p>
    <w:p w14:paraId="2C467929">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177C115">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6DF497D">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（4）承包人在任何时候都应采用各种合理的预防措施，防止其员工发生任何违法、违禁、暴力或妨碍治安的行为。</w:t>
      </w:r>
    </w:p>
    <w:p w14:paraId="52EC55C1">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ECC64FA">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7935C55B">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（7）操作人员上岗，必须按规定穿戴防护用品。施工负责人和安全检查员应随时检查劳动防护用品的穿戴情况，不按规定穿戴防护用品的人员不得上岗。</w:t>
      </w:r>
    </w:p>
    <w:p w14:paraId="0C030703">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（8）所有施工机具设备和高空作业的设备均应定期检查，并有安全员的签字记录，保证其经常处于完好状态；不合格的机具、设备和劳保护用品严禁使用。</w:t>
      </w:r>
    </w:p>
    <w:p w14:paraId="383B230A">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（9）施工中采用新技术、新工艺、新设备、新材料时，必须制定相应的安全技术措施，施工现场必须具有相关的安全标志牌。</w:t>
      </w:r>
    </w:p>
    <w:p w14:paraId="07CE8CA5">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0FD9C133">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（11）安全生产费用按照《公路水运工程安全生产监督管理办法》的相关规定使用和管理。</w:t>
      </w:r>
    </w:p>
    <w:p w14:paraId="0C221A16">
      <w:pPr>
        <w:snapToGrid w:val="0"/>
        <w:spacing w:line="360"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7C27E6EE">
      <w:pPr>
        <w:snapToGrid w:val="0"/>
        <w:spacing w:line="360"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3.违约责任</w:t>
      </w:r>
    </w:p>
    <w:p w14:paraId="2732080F">
      <w:pPr>
        <w:snapToGrid w:val="0"/>
        <w:spacing w:line="360" w:lineRule="auto"/>
        <w:ind w:firstLine="42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如因发包人或承包人违约造成安全事故，将依法追究责任。</w:t>
      </w:r>
    </w:p>
    <w:p w14:paraId="3C39D659">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4.本合同由双方法定代表人或其授权的代理人签署并加盖单位章后生效，全部工程竣工验收后失效。</w:t>
      </w:r>
    </w:p>
    <w:p w14:paraId="2C9D0250">
      <w:pPr>
        <w:snapToGrid w:val="0"/>
        <w:spacing w:line="360" w:lineRule="auto"/>
        <w:ind w:firstLine="220" w:firstLineChars="1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5.本合同正本二份，副本</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份，合同双方各执正本一份，副本</w:t>
      </w:r>
      <w:r>
        <w:rPr>
          <w:rFonts w:hint="eastAsia" w:ascii="仿宋" w:hAnsi="仿宋" w:eastAsia="仿宋" w:cs="仿宋"/>
          <w:color w:val="0D0D0D" w:themeColor="text1" w:themeTint="F2"/>
          <w:sz w:val="22"/>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份，当正本与副本的内容不一致时，以正本为准。</w:t>
      </w:r>
    </w:p>
    <w:p w14:paraId="35756676">
      <w:pPr>
        <w:snapToGrid w:val="0"/>
        <w:spacing w:line="360" w:lineRule="auto"/>
        <w:ind w:firstLine="420"/>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 发包人：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（盖单位章）     承包人：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（盖单位章）</w:t>
      </w:r>
    </w:p>
    <w:p w14:paraId="3DE231FE">
      <w:pPr>
        <w:snapToGrid w:val="0"/>
        <w:spacing w:line="360" w:lineRule="auto"/>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14:textFill>
            <w14:solidFill>
              <w14:schemeClr w14:val="tx1">
                <w14:lumMod w14:val="95000"/>
                <w14:lumOff w14:val="5000"/>
              </w14:schemeClr>
            </w14:solidFill>
          </w14:textFill>
        </w:rPr>
        <w:t>法定代表人或其委托代理人：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（签字）   法定代表人或其委托代理人：</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（签字）</w:t>
      </w:r>
    </w:p>
    <w:p w14:paraId="5E84ACCF">
      <w:pPr>
        <w:snapToGrid w:val="0"/>
        <w:spacing w:line="360" w:lineRule="auto"/>
        <w:ind w:firstLine="1200" w:firstLineChars="600"/>
        <w:rPr>
          <w:rFonts w:hint="eastAsia" w:ascii="仿宋" w:hAnsi="仿宋" w:eastAsia="仿宋" w:cs="仿宋"/>
          <w:color w:val="0D0D0D" w:themeColor="text1" w:themeTint="F2"/>
          <w:sz w:val="20"/>
          <w14:textFill>
            <w14:solidFill>
              <w14:schemeClr w14:val="tx1">
                <w14:lumMod w14:val="95000"/>
                <w14:lumOff w14:val="5000"/>
              </w14:schemeClr>
            </w14:solidFill>
          </w14:textFill>
        </w:rPr>
      </w:pP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日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年</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 xml:space="preserve">月 </w:t>
      </w:r>
      <w:r>
        <w:rPr>
          <w:rFonts w:hint="eastAsia" w:ascii="仿宋" w:hAnsi="仿宋" w:eastAsia="仿宋" w:cs="仿宋"/>
          <w:color w:val="0D0D0D" w:themeColor="text1" w:themeTint="F2"/>
          <w:sz w:val="20"/>
          <w:u w:val="single"/>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0"/>
          <w14:textFill>
            <w14:solidFill>
              <w14:schemeClr w14:val="tx1">
                <w14:lumMod w14:val="95000"/>
                <w14:lumOff w14:val="5000"/>
              </w14:schemeClr>
            </w14:solidFill>
          </w14:textFill>
        </w:rPr>
        <w:t>日</w:t>
      </w:r>
    </w:p>
    <w:p w14:paraId="62A9D869">
      <w:pPr>
        <w:pStyle w:val="5"/>
        <w:rPr>
          <w:rFonts w:hint="eastAsia" w:ascii="仿宋" w:hAnsi="仿宋" w:eastAsia="仿宋" w:cs="仿宋"/>
          <w:color w:val="0D0D0D" w:themeColor="text1" w:themeTint="F2"/>
          <w14:textFill>
            <w14:solidFill>
              <w14:schemeClr w14:val="tx1">
                <w14:lumMod w14:val="95000"/>
                <w14:lumOff w14:val="5000"/>
              </w14:schemeClr>
            </w14:solidFill>
          </w14:textFill>
        </w:rPr>
      </w:pPr>
    </w:p>
    <w:p w14:paraId="14480F44">
      <w:pPr>
        <w:pStyle w:val="2"/>
        <w:snapToGrid w:val="0"/>
        <w:spacing w:before="0" w:after="0" w:line="240" w:lineRule="auto"/>
        <w:ind w:firstLine="440"/>
        <w:contextualSpacing/>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pPr>
      <w:bookmarkStart w:id="30" w:name="_Toc139463633"/>
      <w:bookmarkStart w:id="31" w:name="_Toc141945353"/>
      <w:bookmarkStart w:id="32" w:name="_Toc120443092"/>
      <w:bookmarkStart w:id="33" w:name="_Toc139462834"/>
      <w:bookmarkStart w:id="34" w:name="_Toc139464398"/>
    </w:p>
    <w:p w14:paraId="529389EA">
      <w:pPr>
        <w:pStyle w:val="2"/>
        <w:snapToGrid w:val="0"/>
        <w:spacing w:before="0" w:after="0" w:line="240" w:lineRule="auto"/>
        <w:ind w:firstLine="440"/>
        <w:contextualSpacing/>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4"/>
          <w:szCs w:val="28"/>
          <w14:textFill>
            <w14:solidFill>
              <w14:schemeClr w14:val="tx1">
                <w14:lumMod w14:val="95000"/>
                <w14:lumOff w14:val="5000"/>
              </w14:schemeClr>
            </w14:solidFill>
          </w14:textFill>
        </w:rPr>
        <w:t>附件四 环境保护合同</w:t>
      </w:r>
      <w:bookmarkEnd w:id="30"/>
      <w:bookmarkEnd w:id="31"/>
      <w:bookmarkEnd w:id="32"/>
      <w:bookmarkEnd w:id="33"/>
      <w:bookmarkEnd w:id="34"/>
    </w:p>
    <w:p w14:paraId="0C2D160D">
      <w:pPr>
        <w:snapToGrid w:val="0"/>
        <w:spacing w:line="276" w:lineRule="auto"/>
        <w:jc w:val="center"/>
        <w:rPr>
          <w:rFonts w:hint="eastAsia" w:ascii="仿宋" w:hAnsi="仿宋" w:eastAsia="仿宋" w:cs="仿宋"/>
          <w:bCs/>
          <w:color w:val="0D0D0D" w:themeColor="text1" w:themeTint="F2"/>
          <w:sz w:val="28"/>
          <w:szCs w:val="30"/>
          <w14:textFill>
            <w14:solidFill>
              <w14:schemeClr w14:val="tx1">
                <w14:lumMod w14:val="95000"/>
                <w14:lumOff w14:val="5000"/>
              </w14:schemeClr>
            </w14:solidFill>
          </w14:textFill>
        </w:rPr>
      </w:pPr>
      <w:bookmarkStart w:id="35" w:name="_Toc30508"/>
    </w:p>
    <w:p w14:paraId="1770A575">
      <w:pPr>
        <w:snapToGrid w:val="0"/>
        <w:spacing w:line="276" w:lineRule="auto"/>
        <w:jc w:val="center"/>
        <w:rPr>
          <w:rFonts w:hint="eastAsia" w:ascii="仿宋" w:hAnsi="仿宋" w:eastAsia="仿宋" w:cs="仿宋"/>
          <w:color w:val="0D0D0D" w:themeColor="text1" w:themeTint="F2"/>
          <w14:textFill>
            <w14:solidFill>
              <w14:schemeClr w14:val="tx1">
                <w14:lumMod w14:val="95000"/>
                <w14:lumOff w14:val="5000"/>
              </w14:schemeClr>
            </w14:solidFill>
          </w14:textFill>
        </w:rPr>
      </w:pPr>
      <w:r>
        <w:rPr>
          <w:rFonts w:hint="eastAsia" w:ascii="仿宋" w:hAnsi="仿宋" w:eastAsia="仿宋" w:cs="仿宋"/>
          <w:bCs/>
          <w:color w:val="0D0D0D" w:themeColor="text1" w:themeTint="F2"/>
          <w:sz w:val="24"/>
          <w:szCs w:val="30"/>
          <w14:textFill>
            <w14:solidFill>
              <w14:schemeClr w14:val="tx1">
                <w14:lumMod w14:val="95000"/>
                <w14:lumOff w14:val="5000"/>
              </w14:schemeClr>
            </w14:solidFill>
          </w14:textFill>
        </w:rPr>
        <w:t>施工环境保护协议书合同范本</w:t>
      </w:r>
      <w:bookmarkEnd w:id="35"/>
    </w:p>
    <w:p w14:paraId="0C791531">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甲 方：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p>
    <w:p w14:paraId="311C3D5C">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乙 方：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p>
    <w:p w14:paraId="2EF392D9">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为加强施工安全管理，依据《中华人民共和国合同法》、《中华人民共和国安全生产法》以及有关安全环保管理的法律法规，经甲乙双方共同协商，并本着自愿、公平、一致的原则，就乙方在为甲方提供工程服务过程中的安全施工环境保护事项达成如下协议。</w:t>
      </w:r>
    </w:p>
    <w:p w14:paraId="2819AA2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第一条 工程概况</w:t>
      </w:r>
    </w:p>
    <w:p w14:paraId="7535F4F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一、工程名称：</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p w14:paraId="1DF4321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二、工程性质：</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w:t>
      </w:r>
    </w:p>
    <w:p w14:paraId="235EBE9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第二条 甲方的权利和义务</w:t>
      </w:r>
    </w:p>
    <w:p w14:paraId="05C17A1C">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一、甲方的权利：</w:t>
      </w:r>
    </w:p>
    <w:p w14:paraId="255E4EBA">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1、有权对乙方的资质和安全环保业绩进行审查。</w:t>
      </w:r>
    </w:p>
    <w:p w14:paraId="1B4C77A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2、有权要求乙方建立安全组织机构，严格执行国家安全环保法律法规及甲方和上级有关各项安全环保规章制度。</w:t>
      </w:r>
    </w:p>
    <w:p w14:paraId="300F4D3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3、有权要求乙方针对作业项目制定健康安全环境的安全保证措施方案，并进行审查和备案。</w:t>
      </w:r>
    </w:p>
    <w:p w14:paraId="7D460F5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4、有权要求乙方维护好甲方的安全环保设施、设备和器材。</w:t>
      </w:r>
    </w:p>
    <w:p w14:paraId="78F8E95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5、有权对乙方使用的设备、设施进行安全管理。</w:t>
      </w:r>
    </w:p>
    <w:p w14:paraId="5410AEE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6、有权对乙方施工作业现场的安全环保情况进行监督检查，有权按相关规定进行处罚或其它处理。</w:t>
      </w:r>
    </w:p>
    <w:p w14:paraId="229BA0A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7、发生事故后，有权根据有关规定组织、参与事故的调查。</w:t>
      </w:r>
    </w:p>
    <w:p w14:paraId="56AB661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二、甲方的义务：</w:t>
      </w:r>
    </w:p>
    <w:p w14:paraId="36F59A0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1、认真贯彻落实国家有关安全环保法律、法规、标准及规范和甲方及其上级有关安全环保规章制度。</w:t>
      </w:r>
    </w:p>
    <w:p w14:paraId="1236296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2、对乙方进入甲方区域作业的人员进行入厂安全教育及办理相关入厂手续。</w:t>
      </w:r>
    </w:p>
    <w:p w14:paraId="3465DD3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3、在作业前应对乙方进行安全交底，如向乙方提供与乙方作业相关的甲方的有毒有害、易燃易爆物品及地下管线等状况的数据。明确施工作业区的范围、危险点源及安全管理要求。</w:t>
      </w:r>
    </w:p>
    <w:p w14:paraId="5485ABB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4、为乙方提供工程合同中规定的安全作业需要的环境条件。</w:t>
      </w:r>
    </w:p>
    <w:p w14:paraId="1393468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5、发生事故后积极组织抢险，防止事故扩大。</w:t>
      </w:r>
    </w:p>
    <w:p w14:paraId="31BC72AB">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第三条 乙方的权利和义务一、乙方的权利：</w:t>
      </w:r>
    </w:p>
    <w:p w14:paraId="5D6BC0A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1、有权对甲方的安全环保工作提出合理化建议。</w:t>
      </w:r>
    </w:p>
    <w:p w14:paraId="42AD4DC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2、在日常作业中，对甲方违章强令乙方冒险作业，有权拒绝执行；对由此产生的打击报复，有权向有关部门举报。</w:t>
      </w:r>
    </w:p>
    <w:p w14:paraId="75D8654E">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3、有权要求甲方提供符合安全施工作业的环境条件。</w:t>
      </w:r>
    </w:p>
    <w:p w14:paraId="03D4AC4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4、有权要求甲方在作业前进行安全交底，提供有关有毒有害、易燃易爆物品及地下管线等状况的数据。明确施工作业区的范围、危险点源及安全管理要求。</w:t>
      </w:r>
    </w:p>
    <w:p w14:paraId="7AF855B6">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5、发生严重危及乙方人员生命安全的不可抗拒紧急情况时，乙方有权采取必要的措施避险。</w:t>
      </w:r>
    </w:p>
    <w:p w14:paraId="4F71009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二、乙方的义务：</w:t>
      </w:r>
    </w:p>
    <w:p w14:paraId="2567F09C">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1、严格按照“安全第一，预防为主”的安全工作方针，强化施工作业人员安全环保意识，服从甲方相关部门的安全管理。</w:t>
      </w:r>
    </w:p>
    <w:p w14:paraId="799050E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2、必须健全安全组织机构，建立安全生产责任制，严格遵守国家有关安全、消防、环保方面的法律法规及甲方和上级的各项安全环保规章制度。</w:t>
      </w:r>
    </w:p>
    <w:p w14:paraId="578CCE1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3、根据工程服务安全施工作业的需要，乙方应在安全评价的基础上根据甲方要求编制《安全风险评价报告书》，针对施工作业项目制定健康、安全、环境措施方案，经甲方审批并备案。</w:t>
      </w:r>
    </w:p>
    <w:p w14:paraId="7BDAF80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 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4C1075FE">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625070B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6、特种作业人员必须具有相应的资格证书。</w:t>
      </w:r>
    </w:p>
    <w:p w14:paraId="3571819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7、在施工区域内搭建临时建筑物应事先提交申请，并有具体区域相邻建筑、管线位置图，经甲方有关部门审批后方可搭建。</w:t>
      </w:r>
    </w:p>
    <w:p w14:paraId="3C1CFDF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8、在施工作业现场必须设有安全警示标志，施工作业现场危险区域，夜间设红灯警示。</w:t>
      </w:r>
    </w:p>
    <w:p w14:paraId="30E4964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9、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36A78394">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10、进入施工作业现场的各类人员，必须按规定着装、配戴安全帽，特种作业人员必须按特殊工种配备劳动保护用品。</w:t>
      </w:r>
    </w:p>
    <w:p w14:paraId="7F7568C2">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11、未经允许，不准占用消防通道，需占用或破路工程，必须按有关规定办理手续，在规定时间内完工后，立即恢复道路的正常使用，以保证消防通道畅通。</w:t>
      </w:r>
    </w:p>
    <w:p w14:paraId="5C32B7A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12、发现作业过程中有不安全行为、隐患、重大险情，应采取有效措施及时处理并报告甲方。</w:t>
      </w:r>
    </w:p>
    <w:p w14:paraId="015571F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13、发生事故时，应积极抢险，服从统一指挥，避免事故进一步扩大，并按要求及时上报事故。</w:t>
      </w:r>
    </w:p>
    <w:p w14:paraId="5AE16307">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14、不得使用不符合国家、行业标准和甲方规定的原材料、设备、装置、防护用品、器材、安全检测仪器等。</w:t>
      </w:r>
    </w:p>
    <w:p w14:paraId="643B63F8">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15、承担所属施工作业人员的工伤保险以及施工期间的自有及租用设备的保险责任。</w:t>
      </w:r>
    </w:p>
    <w:p w14:paraId="22DC5420">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16、施工中产生的废水、废气、废渣以及废料，必须达到环保排放要求方可排放或按要求回收，存放到指定场所。</w:t>
      </w:r>
    </w:p>
    <w:p w14:paraId="05488CF3">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17、产生噪声污染的工程项目，施工前必须采取消音措施，达到环保要求后， 方可施工。</w:t>
      </w:r>
    </w:p>
    <w:p w14:paraId="616E5556">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18、在环保设施施工中影响环保设施正常运行、穿越或迁移污水管线等必须经有关部门批准，方可施工。</w:t>
      </w:r>
    </w:p>
    <w:p w14:paraId="4BAEA465">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19、注重文明施工，做到工完料净场地清。作业结束后，须经甲方安全环保部门和施工主管部门及上级部门检查验收签字。</w:t>
      </w:r>
    </w:p>
    <w:p w14:paraId="7C5BF481">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20、乙方招用的分包商，应经甲方审批认可，并具备承担工程服务项目的施工资质和安全资格。从事特种作业的人员必须经过专业培训并取得特种专业资格证书。乙方招用的分包商的安全责任由乙方承担。</w:t>
      </w:r>
    </w:p>
    <w:p w14:paraId="4C249051">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第四条 违约责任及处理</w:t>
      </w:r>
    </w:p>
    <w:p w14:paraId="67CC9F1D">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一、甲乙双方违反本协议要求，未造成事故时，依据协议约定对违约者进行处理（包括但不限于支付违约金、停工整改、赔偿损失等）。</w:t>
      </w:r>
    </w:p>
    <w:p w14:paraId="1C3D04AF">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二、甲方违约造成的事故，甲方承担全部责任，并按规定追究有关人员责任及上报。</w:t>
      </w:r>
    </w:p>
    <w:p w14:paraId="355421DB">
      <w:pPr>
        <w:spacing w:line="276" w:lineRule="auto"/>
        <w:ind w:firstLine="440" w:firstLineChars="200"/>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三、乙方违约造成的事故，乙方承担全部责任，并按规定追究有关人员责任并报告甲方；由于乙方工程质量、检修质量及购买的原材料质量导致的事故，由乙方承担全部责任。</w:t>
      </w:r>
    </w:p>
    <w:p w14:paraId="2796E695">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 xml:space="preserve">   四、甲乙双方共同违约造成的事故，按双方责任大小承担相应责任，并按规定追究有关人员责任并上报。</w:t>
      </w:r>
    </w:p>
    <w:p w14:paraId="0B4849DF">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第五条 发生事故时，甲乙双方均有抢险救灾的义务，所发生的费用由责任方承担。</w:t>
      </w:r>
    </w:p>
    <w:p w14:paraId="2B75037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第六条 发生事故，由事故责任主体单位上报事故；经事故调查确认责任； 事故报告和调查应按照国家和上级的有关规定进行。</w:t>
      </w:r>
    </w:p>
    <w:p w14:paraId="7693BC4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第七条 由于不可抗力造成协议项目施工作业事故及产生的损失，由双方各自承担相应的损失。</w:t>
      </w:r>
    </w:p>
    <w:p w14:paraId="0DF5A00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第八条 对乙方发生事故后弄虚作假、隐瞒不报、迟报或谎报，一经查出， 按有关规定处罚，情节严重的，取消其进入甲方市场资格。</w:t>
      </w:r>
    </w:p>
    <w:p w14:paraId="0721BA49">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第九条 纠纷解决的方式：本协议履行过程中发生的任何争议纠纷，双方应通过友好协商方式解决。如协商不成，按工程服务合同所约定的争议解决方式解决。</w:t>
      </w:r>
    </w:p>
    <w:p w14:paraId="7CEDDB0B">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第十条 本协议是工程服务合同的重要组成部分，与工程服务合同具有同等法律效力。</w:t>
      </w:r>
    </w:p>
    <w:p w14:paraId="63982CFA">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第十一条 本协议与工程服务合同的实际履行期限一致。如果主合同因故需要变更期限，本协议相应与之变更至相同期限。</w:t>
      </w:r>
    </w:p>
    <w:p w14:paraId="3AC1B1A2">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第十二条 协议中的有关名词如违章、事故、不可抗力等，按国家的法律法规的规定解释。第十三条 针对协议需明确的具体安全环保要求另行说明。</w:t>
      </w:r>
    </w:p>
    <w:p w14:paraId="2EC449C4">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第十四条 本协议自双方签字盖章后生效。</w:t>
      </w:r>
    </w:p>
    <w:p w14:paraId="3EADDF13">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第十五条 本协议一式二份，甲方一份，乙方一份。</w:t>
      </w:r>
    </w:p>
    <w:p w14:paraId="3C9D4BD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65CCD4E8">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28AD1CE0">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甲 方（盖章）：</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乙 方（盖章）：</w:t>
      </w:r>
    </w:p>
    <w:p w14:paraId="3D88A8E6">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6493B0FE">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负责人（签字）：</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负责人（签字）：</w:t>
      </w:r>
    </w:p>
    <w:p w14:paraId="7A559F7D">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p>
    <w:p w14:paraId="3BCE544F">
      <w:pPr>
        <w:spacing w:line="276" w:lineRule="auto"/>
        <w:rPr>
          <w:rFonts w:hint="eastAsia" w:ascii="仿宋" w:hAnsi="仿宋" w:eastAsia="仿宋" w:cs="仿宋"/>
          <w:color w:val="0D0D0D" w:themeColor="text1" w:themeTint="F2"/>
          <w:sz w:val="22"/>
          <w14:textFill>
            <w14:solidFill>
              <w14:schemeClr w14:val="tx1">
                <w14:lumMod w14:val="95000"/>
                <w14:lumOff w14:val="5000"/>
              </w14:schemeClr>
            </w14:solidFill>
          </w14:textFill>
        </w:rPr>
      </w:pP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 月 日</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lang w:val="en-US" w:eastAsia="zh-CN"/>
          <w14:textFill>
            <w14:solidFill>
              <w14:schemeClr w14:val="tx1">
                <w14:lumMod w14:val="95000"/>
                <w14:lumOff w14:val="5000"/>
              </w14:schemeClr>
            </w14:solidFill>
          </w14:textFill>
        </w:rPr>
        <w:t xml:space="preserve">                               </w:t>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ab/>
      </w:r>
      <w:r>
        <w:rPr>
          <w:rFonts w:hint="eastAsia" w:ascii="仿宋" w:hAnsi="仿宋" w:eastAsia="仿宋" w:cs="仿宋"/>
          <w:color w:val="0D0D0D" w:themeColor="text1" w:themeTint="F2"/>
          <w:sz w:val="22"/>
          <w14:textFill>
            <w14:solidFill>
              <w14:schemeClr w14:val="tx1">
                <w14:lumMod w14:val="95000"/>
                <w14:lumOff w14:val="5000"/>
              </w14:schemeClr>
            </w14:solidFill>
          </w14:textFill>
        </w:rPr>
        <w:t>年 月 日</w:t>
      </w:r>
    </w:p>
    <w:p w14:paraId="5D6AAAF8"/>
    <w:sectPr>
      <w:pgSz w:w="11906" w:h="16838"/>
      <w:pgMar w:top="85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6858EB"/>
    <w:multiLevelType w:val="multilevel"/>
    <w:tmpl w:val="246858EB"/>
    <w:lvl w:ilvl="0" w:tentative="0">
      <w:start w:val="1"/>
      <w:numFmt w:val="japaneseCounting"/>
      <w:lvlText w:val="第%1节"/>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B71C3"/>
    <w:rsid w:val="44AB71C3"/>
    <w:rsid w:val="537152D7"/>
    <w:rsid w:val="7F514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autoSpaceDE w:val="0"/>
      <w:autoSpaceDN w:val="0"/>
      <w:adjustRightInd w:val="0"/>
      <w:spacing w:line="640" w:lineRule="exact"/>
      <w:ind w:firstLine="585"/>
    </w:pPr>
    <w:rPr>
      <w:rFonts w:ascii="楷体_GB2312" w:eastAsia="楷体_GB2312"/>
      <w:kern w:val="0"/>
      <w:sz w:val="32"/>
      <w:szCs w:val="32"/>
    </w:rPr>
  </w:style>
  <w:style w:type="paragraph" w:styleId="4">
    <w:name w:val="footer"/>
    <w:basedOn w:val="1"/>
    <w:qFormat/>
    <w:uiPriority w:val="99"/>
    <w:pPr>
      <w:tabs>
        <w:tab w:val="center" w:pos="4153"/>
        <w:tab w:val="right" w:pos="8306"/>
      </w:tabs>
      <w:snapToGrid w:val="0"/>
      <w:jc w:val="left"/>
    </w:pPr>
    <w:rPr>
      <w:sz w:val="18"/>
    </w:rPr>
  </w:style>
  <w:style w:type="paragraph" w:styleId="5">
    <w:name w:val="toc 4"/>
    <w:basedOn w:val="1"/>
    <w:next w:val="1"/>
    <w:qFormat/>
    <w:uiPriority w:val="39"/>
    <w:pPr>
      <w:ind w:left="1260" w:leftChars="600"/>
    </w:pPr>
  </w:style>
  <w:style w:type="paragraph" w:styleId="8">
    <w:name w:val="List Paragraph"/>
    <w:basedOn w:val="1"/>
    <w:qFormat/>
    <w:uiPriority w:val="99"/>
    <w:pPr>
      <w:autoSpaceDE w:val="0"/>
      <w:autoSpaceDN w:val="0"/>
      <w:ind w:left="400" w:firstLine="480"/>
      <w:jc w:val="left"/>
    </w:pPr>
    <w:rPr>
      <w:rFonts w:ascii="仿宋" w:hAnsi="仿宋" w:eastAsia="仿宋" w:cs="仿宋"/>
      <w:kern w:val="0"/>
      <w:sz w:val="22"/>
      <w:szCs w:val="22"/>
    </w:rPr>
  </w:style>
  <w:style w:type="paragraph" w:customStyle="1" w:styleId="9">
    <w:name w:val="列出段落2"/>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10">
    <w:name w:val="Table Paragraph"/>
    <w:basedOn w:val="1"/>
    <w:qFormat/>
    <w:uiPriority w:val="1"/>
    <w:pPr>
      <w:autoSpaceDE w:val="0"/>
      <w:autoSpaceDN w:val="0"/>
      <w:jc w:val="left"/>
    </w:pPr>
    <w:rPr>
      <w:rFonts w:ascii="仿宋" w:hAnsi="仿宋" w:eastAsia="仿宋" w:cs="仿宋"/>
      <w:kern w:val="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7967</Words>
  <Characters>8177</Characters>
  <Lines>0</Lines>
  <Paragraphs>0</Paragraphs>
  <TotalTime>1</TotalTime>
  <ScaleCrop>false</ScaleCrop>
  <LinksUpToDate>false</LinksUpToDate>
  <CharactersWithSpaces>9045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2026-03-11T08:43:00Z</dcterms:created>
  <dc:creator>vousmevoyez</dc:creator>
  <cp:lastModifiedBy>vousmevoyez</cp:lastModifiedBy>
  <dcterms:modified xsi:type="dcterms:W3CDTF">2026-04-29T06:36:06Z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B291A8709AD947BC9D22C1A09BD44D3D_11</vt:lpwstr>
  </property>
  <property fmtid="{D5CDD505-2E9C-101B-9397-08002B2CF9AE}" pid="4" name="KSOTemplateDocerSaveRecord">
    <vt:lpwstr>eyJoZGlkIjoiODE5MmY0YzMxNWNiZmRhNGM1ODQzMjMxNGJlZjRlOWMiLCJ1c2VySWQiOiI0MzUyMzc4NTAifQ==</vt:lpwstr>
  </property>
</Properties>
</file>