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版本号：HRPDZB-20260410120260415002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2026年镇巴县长岭镇九阵片区村企业共建淫羊藿种植基地建设项目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HRPDZB-202604101</w:t>
      </w:r>
      <w:r>
        <w:br/>
      </w:r>
      <w:r>
        <w:br/>
      </w:r>
      <w:r>
        <w:br/>
      </w:r>
    </w:p>
    <w:p>
      <w:pPr>
        <w:pStyle w:val="null3"/>
        <w:jc w:val="center"/>
        <w:outlineLvl w:val="2"/>
      </w:pPr>
      <w:r>
        <w:rPr>
          <w:rFonts w:ascii="仿宋_GB2312" w:hAnsi="仿宋_GB2312" w:cs="仿宋_GB2312" w:eastAsia="仿宋_GB2312"/>
          <w:sz w:val="28"/>
          <w:b/>
        </w:rPr>
        <w:t>镇巴县长岭镇人民政府</w:t>
      </w:r>
    </w:p>
    <w:p>
      <w:pPr>
        <w:pStyle w:val="null3"/>
        <w:jc w:val="center"/>
        <w:outlineLvl w:val="2"/>
      </w:pPr>
      <w:r>
        <w:rPr>
          <w:rFonts w:ascii="仿宋_GB2312" w:hAnsi="仿宋_GB2312" w:cs="仿宋_GB2312" w:eastAsia="仿宋_GB2312"/>
          <w:sz w:val="28"/>
          <w:b/>
        </w:rPr>
        <w:t>宏睿鹏达项目管理有限公司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宏睿鹏达项目管理有限公司</w:t>
      </w:r>
      <w:r>
        <w:rPr>
          <w:rFonts w:ascii="仿宋_GB2312" w:hAnsi="仿宋_GB2312" w:cs="仿宋_GB2312" w:eastAsia="仿宋_GB2312"/>
        </w:rPr>
        <w:t>（以下简称“代理机构”）受</w:t>
      </w:r>
      <w:r>
        <w:rPr>
          <w:rFonts w:ascii="仿宋_GB2312" w:hAnsi="仿宋_GB2312" w:cs="仿宋_GB2312" w:eastAsia="仿宋_GB2312"/>
        </w:rPr>
        <w:t>镇巴县长岭镇人民政府</w:t>
      </w:r>
      <w:r>
        <w:rPr>
          <w:rFonts w:ascii="仿宋_GB2312" w:hAnsi="仿宋_GB2312" w:cs="仿宋_GB2312" w:eastAsia="仿宋_GB2312"/>
        </w:rPr>
        <w:t>委托，拟对</w:t>
      </w:r>
      <w:r>
        <w:rPr>
          <w:rFonts w:ascii="仿宋_GB2312" w:hAnsi="仿宋_GB2312" w:cs="仿宋_GB2312" w:eastAsia="仿宋_GB2312"/>
        </w:rPr>
        <w:t>2026年镇巴县长岭镇九阵片区村企业共建淫羊藿种植基地建设项目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HRPDZB-202604101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2026年镇巴县长岭镇九阵片区村企业共建淫羊藿种植基地建设项目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新建淫羊藿基地240亩，安装防护围栏12千米。形成资产达产达效年村集体每年增收8.64万元，通过劳务用工、土地流转、收益分红等方式带动农户增收，连续带动三年以上。</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采购包1（2026年镇巴县长岭镇九阵片区村企业共建淫羊藿种植基地建设项目）：属于专门面向中小企业采购。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镇巴县长岭镇人民政府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镇巴县长岭镇花园社区街上</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镇巴县长岭镇人民政府经办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13992653715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宏睿鹏达项目管理有限公司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陕西省西安市雁塔区陕西省西安市雁塔区雁翔路99号博源科技广场C座西交一八九六孵化器2046号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13335448555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开户名称：宏睿鹏达项目管理有限公司汉中分公司</w:t>
            </w:r>
          </w:p>
          <w:p>
            <w:pPr>
              <w:pStyle w:val="null3"/>
            </w:pPr>
            <w:r>
              <w:rPr>
                <w:rFonts w:ascii="仿宋_GB2312" w:hAnsi="仿宋_GB2312" w:cs="仿宋_GB2312" w:eastAsia="仿宋_GB2312"/>
              </w:rPr>
              <w:t>开户银行：中国建设银行股份有限公司汉中北团结街支行</w:t>
            </w:r>
          </w:p>
          <w:p>
            <w:pPr>
              <w:pStyle w:val="null3"/>
            </w:pPr>
            <w:r>
              <w:rPr>
                <w:rFonts w:ascii="仿宋_GB2312" w:hAnsi="仿宋_GB2312" w:cs="仿宋_GB2312" w:eastAsia="仿宋_GB2312"/>
              </w:rPr>
              <w:t>银行账号：61050165910000000846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代理服务费收费标准：代理服务费参照《招标代理服务收费管理暂行办法》计价[2002]1980号和《国家发改委办公厅关于招标代理服务收费有关问题的通知》（发改办价格〔2003〕857号）文件服务类标准计算。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镇巴县长岭镇人民政府</w:t>
      </w:r>
      <w:r>
        <w:rPr>
          <w:rFonts w:ascii="仿宋_GB2312" w:hAnsi="仿宋_GB2312" w:cs="仿宋_GB2312" w:eastAsia="仿宋_GB2312"/>
        </w:rPr>
        <w:t>和</w:t>
      </w:r>
      <w:r>
        <w:rPr>
          <w:rFonts w:ascii="仿宋_GB2312" w:hAnsi="仿宋_GB2312" w:cs="仿宋_GB2312" w:eastAsia="仿宋_GB2312"/>
        </w:rPr>
        <w:t>宏睿鹏达项目管理有限公司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镇巴县长岭镇人民政府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宏睿鹏达项目管理有限公司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镇巴县长岭镇人民政府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宏睿鹏达项目管理有限公司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质量、安全、技术规格、物理特性等各项要求满足国家质量标准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联系人：马先生</w:t>
      </w:r>
    </w:p>
    <w:p>
      <w:pPr>
        <w:pStyle w:val="null3"/>
      </w:pPr>
      <w:r>
        <w:rPr>
          <w:rFonts w:ascii="仿宋_GB2312" w:hAnsi="仿宋_GB2312" w:cs="仿宋_GB2312" w:eastAsia="仿宋_GB2312"/>
        </w:rPr>
        <w:t>联系电话：13335448555</w:t>
      </w:r>
    </w:p>
    <w:p>
      <w:pPr>
        <w:pStyle w:val="null3"/>
      </w:pPr>
      <w:r>
        <w:rPr>
          <w:rFonts w:ascii="仿宋_GB2312" w:hAnsi="仿宋_GB2312" w:cs="仿宋_GB2312" w:eastAsia="仿宋_GB2312"/>
        </w:rPr>
        <w:t>地址：镇巴县泾洋街道办龙首融景城6号楼门面房202室</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新建淫羊藿基地240亩，安装防护围栏12千米。形成资产达产达效年村集体每年增收8.64万元，通过劳务用工、土地流转、收益分红等方式带动农户增收，连续带动三年以上。</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2,200,000.00</w:t>
      </w:r>
    </w:p>
    <w:p>
      <w:pPr>
        <w:pStyle w:val="null3"/>
      </w:pPr>
      <w:r>
        <w:rPr>
          <w:rFonts w:ascii="仿宋_GB2312" w:hAnsi="仿宋_GB2312" w:cs="仿宋_GB2312" w:eastAsia="仿宋_GB2312"/>
        </w:rPr>
        <w:t>采购包最高限价（元）: 2,200,000.00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2026年镇巴县长岭镇九阵片区村企业共建淫羊藿种植基地建设项目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标的名称：2026年镇巴县长岭镇九阵片区村企业共建淫羊藿种植基地建设项目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171"/>
              <w:gridCol w:w="354"/>
              <w:gridCol w:w="1120"/>
              <w:gridCol w:w="198"/>
              <w:gridCol w:w="356"/>
              <w:gridCol w:w="343"/>
            </w:tblGrid>
            <w:tr>
              <w:tc>
                <w:tcPr>
                  <w:tcW w:type="dxa" w:w="1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序号</w:t>
                  </w:r>
                </w:p>
              </w:tc>
              <w:tc>
                <w:tcPr>
                  <w:tcW w:type="dxa" w:w="35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淫羊藿种苗</w:t>
                  </w:r>
                  <w:r>
                    <w:rPr>
                      <w:rFonts w:ascii="仿宋_GB2312" w:hAnsi="仿宋_GB2312" w:cs="仿宋_GB2312" w:eastAsia="仿宋_GB2312"/>
                      <w:sz w:val="24"/>
                      <w:color w:val="000000"/>
                    </w:rPr>
                    <w:t>采购及</w:t>
                  </w:r>
                  <w:r>
                    <w:rPr>
                      <w:rFonts w:ascii="仿宋_GB2312" w:hAnsi="仿宋_GB2312" w:cs="仿宋_GB2312" w:eastAsia="仿宋_GB2312"/>
                      <w:sz w:val="24"/>
                      <w:color w:val="000000"/>
                    </w:rPr>
                    <w:t>种植</w:t>
                  </w:r>
                  <w:r>
                    <w:rPr>
                      <w:rFonts w:ascii="仿宋_GB2312" w:hAnsi="仿宋_GB2312" w:cs="仿宋_GB2312" w:eastAsia="仿宋_GB2312"/>
                      <w:sz w:val="24"/>
                      <w:color w:val="000000"/>
                    </w:rPr>
                    <w:t>240</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亩</w:t>
                  </w:r>
                </w:p>
                <w:p>
                  <w:pPr>
                    <w:pStyle w:val="null3"/>
                    <w:jc w:val="center"/>
                  </w:pPr>
                  <w:r>
                    <w:rPr>
                      <w:rFonts w:ascii="仿宋_GB2312" w:hAnsi="仿宋_GB2312" w:cs="仿宋_GB2312" w:eastAsia="仿宋_GB2312"/>
                      <w:sz w:val="24"/>
                      <w:b/>
                      <w:color w:val="000000"/>
                    </w:rPr>
                    <w:t>分项名称</w:t>
                  </w:r>
                </w:p>
              </w:tc>
              <w:tc>
                <w:tcPr>
                  <w:tcW w:type="dxa" w:w="11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规格参数</w:t>
                  </w:r>
                </w:p>
              </w:tc>
              <w:tc>
                <w:tcPr>
                  <w:tcW w:type="dxa" w:w="1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单位</w:t>
                  </w:r>
                </w:p>
              </w:tc>
              <w:tc>
                <w:tcPr>
                  <w:tcW w:type="dxa" w:w="35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数量</w:t>
                  </w:r>
                </w:p>
              </w:tc>
              <w:tc>
                <w:tcPr>
                  <w:tcW w:type="dxa" w:w="34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备注</w:t>
                  </w:r>
                </w:p>
              </w:tc>
            </w:tr>
            <w:tr>
              <w:tc>
                <w:tcPr>
                  <w:tcW w:type="dxa" w:w="1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1.1</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淫羊藿种苗</w:t>
                  </w:r>
                </w:p>
              </w:tc>
              <w:tc>
                <w:tcPr>
                  <w:tcW w:type="dxa" w:w="1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种苗为淫羊藿种子繁育的实生苗</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每株高</w:t>
                  </w:r>
                  <w:r>
                    <w:rPr>
                      <w:rFonts w:ascii="仿宋_GB2312" w:hAnsi="仿宋_GB2312" w:cs="仿宋_GB2312" w:eastAsia="仿宋_GB2312"/>
                      <w:sz w:val="24"/>
                      <w:color w:val="000000"/>
                    </w:rPr>
                    <w:t>10cm以上，分支数3个以上，芽头1个以上</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）无根腐病、</w:t>
                  </w:r>
                  <w:r>
                    <w:rPr>
                      <w:rFonts w:ascii="仿宋_GB2312" w:hAnsi="仿宋_GB2312" w:cs="仿宋_GB2312" w:eastAsia="仿宋_GB2312"/>
                      <w:sz w:val="24"/>
                      <w:color w:val="000000"/>
                    </w:rPr>
                    <w:t>锈病等病虫害</w:t>
                  </w:r>
                  <w:r>
                    <w:rPr>
                      <w:rFonts w:ascii="仿宋_GB2312" w:hAnsi="仿宋_GB2312" w:cs="仿宋_GB2312" w:eastAsia="仿宋_GB2312"/>
                      <w:sz w:val="24"/>
                      <w:color w:val="000000"/>
                    </w:rPr>
                    <w:t>；</w:t>
                  </w:r>
                </w:p>
                <w:p>
                  <w:pPr>
                    <w:pStyle w:val="null3"/>
                    <w:jc w:val="both"/>
                  </w:pPr>
                </w:p>
              </w:tc>
              <w:tc>
                <w:tcPr>
                  <w:tcW w:type="dxa" w:w="1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亩</w:t>
                  </w:r>
                </w:p>
              </w:tc>
              <w:tc>
                <w:tcPr>
                  <w:tcW w:type="dxa" w:w="3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按</w:t>
                  </w:r>
                  <w:r>
                    <w:rPr>
                      <w:rFonts w:ascii="仿宋_GB2312" w:hAnsi="仿宋_GB2312" w:cs="仿宋_GB2312" w:eastAsia="仿宋_GB2312"/>
                    </w:rPr>
                    <w:t xml:space="preserve"> </w:t>
                  </w:r>
                  <w:r>
                    <w:rPr>
                      <w:rFonts w:ascii="仿宋_GB2312" w:hAnsi="仿宋_GB2312" w:cs="仿宋_GB2312" w:eastAsia="仿宋_GB2312"/>
                      <w:sz w:val="24"/>
                      <w:color w:val="000000"/>
                    </w:rPr>
                    <w:t>24</w:t>
                  </w:r>
                  <w:r>
                    <w:rPr>
                      <w:rFonts w:ascii="仿宋_GB2312" w:hAnsi="仿宋_GB2312" w:cs="仿宋_GB2312" w:eastAsia="仿宋_GB2312"/>
                      <w:sz w:val="24"/>
                      <w:color w:val="000000"/>
                    </w:rPr>
                    <w:t>0</w:t>
                  </w:r>
                  <w:r>
                    <w:rPr>
                      <w:rFonts w:ascii="仿宋_GB2312" w:hAnsi="仿宋_GB2312" w:cs="仿宋_GB2312" w:eastAsia="仿宋_GB2312"/>
                    </w:rPr>
                    <w:t xml:space="preserve"> </w:t>
                  </w:r>
                  <w:r>
                    <w:rPr>
                      <w:rFonts w:ascii="仿宋_GB2312" w:hAnsi="仿宋_GB2312" w:cs="仿宋_GB2312" w:eastAsia="仿宋_GB2312"/>
                      <w:sz w:val="24"/>
                      <w:color w:val="000000"/>
                    </w:rPr>
                    <w:t>亩</w:t>
                  </w:r>
                  <w:r>
                    <w:rPr>
                      <w:rFonts w:ascii="仿宋_GB2312" w:hAnsi="仿宋_GB2312" w:cs="仿宋_GB2312" w:eastAsia="仿宋_GB2312"/>
                      <w:sz w:val="24"/>
                      <w:color w:val="000000"/>
                    </w:rPr>
                    <w:t>种植密度核</w:t>
                  </w:r>
                  <w:r>
                    <w:rPr>
                      <w:rFonts w:ascii="仿宋_GB2312" w:hAnsi="仿宋_GB2312" w:cs="仿宋_GB2312" w:eastAsia="仿宋_GB2312"/>
                      <w:sz w:val="24"/>
                      <w:color w:val="000000"/>
                    </w:rPr>
                    <w:t>算（每亩</w:t>
                  </w:r>
                  <w:r>
                    <w:rPr>
                      <w:rFonts w:ascii="仿宋_GB2312" w:hAnsi="仿宋_GB2312" w:cs="仿宋_GB2312" w:eastAsia="仿宋_GB2312"/>
                      <w:sz w:val="24"/>
                      <w:color w:val="000000"/>
                    </w:rPr>
                    <w:t>≥</w:t>
                  </w:r>
                </w:p>
                <w:p>
                  <w:pPr>
                    <w:pStyle w:val="null3"/>
                    <w:jc w:val="center"/>
                  </w:pPr>
                  <w:r>
                    <w:rPr>
                      <w:rFonts w:ascii="仿宋_GB2312" w:hAnsi="仿宋_GB2312" w:cs="仿宋_GB2312" w:eastAsia="仿宋_GB2312"/>
                      <w:sz w:val="24"/>
                      <w:color w:val="000000"/>
                    </w:rPr>
                    <w:t>30</w:t>
                  </w:r>
                  <w:r>
                    <w:rPr>
                      <w:rFonts w:ascii="仿宋_GB2312" w:hAnsi="仿宋_GB2312" w:cs="仿宋_GB2312" w:eastAsia="仿宋_GB2312"/>
                      <w:sz w:val="24"/>
                      <w:color w:val="000000"/>
                    </w:rPr>
                    <w:t>00</w:t>
                  </w:r>
                  <w:r>
                    <w:rPr>
                      <w:rFonts w:ascii="仿宋_GB2312" w:hAnsi="仿宋_GB2312" w:cs="仿宋_GB2312" w:eastAsia="仿宋_GB2312"/>
                    </w:rPr>
                    <w:t xml:space="preserve"> </w:t>
                  </w:r>
                  <w:r>
                    <w:rPr>
                      <w:rFonts w:ascii="仿宋_GB2312" w:hAnsi="仿宋_GB2312" w:cs="仿宋_GB2312" w:eastAsia="仿宋_GB2312"/>
                      <w:sz w:val="24"/>
                      <w:color w:val="000000"/>
                    </w:rPr>
                    <w:t>株</w:t>
                  </w:r>
                  <w:r>
                    <w:rPr>
                      <w:rFonts w:ascii="仿宋_GB2312" w:hAnsi="仿宋_GB2312" w:cs="仿宋_GB2312" w:eastAsia="仿宋_GB2312"/>
                      <w:sz w:val="24"/>
                      <w:color w:val="000000"/>
                    </w:rPr>
                    <w:t>），</w:t>
                  </w:r>
                  <w:r>
                    <w:rPr>
                      <w:rFonts w:ascii="仿宋_GB2312" w:hAnsi="仿宋_GB2312" w:cs="仿宋_GB2312" w:eastAsia="仿宋_GB2312"/>
                      <w:sz w:val="24"/>
                      <w:color w:val="000000"/>
                    </w:rPr>
                    <w:t>总计</w:t>
                  </w:r>
                  <w:r>
                    <w:rPr>
                      <w:rFonts w:ascii="仿宋_GB2312" w:hAnsi="仿宋_GB2312" w:cs="仿宋_GB2312" w:eastAsia="仿宋_GB2312"/>
                      <w:sz w:val="24"/>
                      <w:color w:val="000000"/>
                    </w:rPr>
                    <w:t>≥</w:t>
                  </w:r>
                </w:p>
                <w:p>
                  <w:pPr>
                    <w:pStyle w:val="null3"/>
                    <w:jc w:val="center"/>
                  </w:pPr>
                  <w:r>
                    <w:rPr>
                      <w:rFonts w:ascii="仿宋_GB2312" w:hAnsi="仿宋_GB2312" w:cs="仿宋_GB2312" w:eastAsia="仿宋_GB2312"/>
                      <w:sz w:val="24"/>
                      <w:color w:val="000000"/>
                    </w:rPr>
                    <w:t>72</w:t>
                  </w:r>
                  <w:r>
                    <w:rPr>
                      <w:rFonts w:ascii="仿宋_GB2312" w:hAnsi="仿宋_GB2312" w:cs="仿宋_GB2312" w:eastAsia="仿宋_GB2312"/>
                      <w:sz w:val="24"/>
                      <w:color w:val="000000"/>
                    </w:rPr>
                    <w:t>0000</w:t>
                  </w:r>
                  <w:r>
                    <w:rPr>
                      <w:rFonts w:ascii="仿宋_GB2312" w:hAnsi="仿宋_GB2312" w:cs="仿宋_GB2312" w:eastAsia="仿宋_GB2312"/>
                    </w:rPr>
                    <w:t xml:space="preserve"> </w:t>
                  </w:r>
                  <w:r>
                    <w:rPr>
                      <w:rFonts w:ascii="仿宋_GB2312" w:hAnsi="仿宋_GB2312" w:cs="仿宋_GB2312" w:eastAsia="仿宋_GB2312"/>
                      <w:sz w:val="24"/>
                      <w:color w:val="000000"/>
                    </w:rPr>
                    <w:t>株</w:t>
                  </w:r>
                </w:p>
              </w:tc>
              <w:tc>
                <w:tcPr>
                  <w:tcW w:type="dxa" w:w="3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含</w:t>
                  </w:r>
                  <w:r>
                    <w:rPr>
                      <w:rFonts w:ascii="仿宋_GB2312" w:hAnsi="仿宋_GB2312" w:cs="仿宋_GB2312" w:eastAsia="仿宋_GB2312"/>
                      <w:sz w:val="24"/>
                      <w:color w:val="000000"/>
                    </w:rPr>
                    <w:t>种苗</w:t>
                  </w:r>
                  <w:r>
                    <w:rPr>
                      <w:rFonts w:ascii="仿宋_GB2312" w:hAnsi="仿宋_GB2312" w:cs="仿宋_GB2312" w:eastAsia="仿宋_GB2312"/>
                      <w:sz w:val="24"/>
                      <w:color w:val="000000"/>
                    </w:rPr>
                    <w:t>采</w:t>
                  </w:r>
                  <w:r>
                    <w:rPr>
                      <w:rFonts w:ascii="仿宋_GB2312" w:hAnsi="仿宋_GB2312" w:cs="仿宋_GB2312" w:eastAsia="仿宋_GB2312"/>
                      <w:sz w:val="24"/>
                      <w:color w:val="000000"/>
                    </w:rPr>
                    <w:t>购、包装、</w:t>
                  </w:r>
                  <w:r>
                    <w:rPr>
                      <w:rFonts w:ascii="仿宋_GB2312" w:hAnsi="仿宋_GB2312" w:cs="仿宋_GB2312" w:eastAsia="仿宋_GB2312"/>
                      <w:sz w:val="24"/>
                      <w:color w:val="000000"/>
                    </w:rPr>
                    <w:t>运输至种植</w:t>
                  </w:r>
                  <w:r>
                    <w:rPr>
                      <w:rFonts w:ascii="仿宋_GB2312" w:hAnsi="仿宋_GB2312" w:cs="仿宋_GB2312" w:eastAsia="仿宋_GB2312"/>
                      <w:sz w:val="24"/>
                      <w:color w:val="000000"/>
                    </w:rPr>
                    <w:t>地块</w:t>
                  </w:r>
                </w:p>
              </w:tc>
            </w:tr>
            <w:tr>
              <w:tc>
                <w:tcPr>
                  <w:tcW w:type="dxa" w:w="1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1.2</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种植人工及</w:t>
                  </w:r>
                  <w:r>
                    <w:rPr>
                      <w:rFonts w:ascii="仿宋_GB2312" w:hAnsi="仿宋_GB2312" w:cs="仿宋_GB2312" w:eastAsia="仿宋_GB2312"/>
                    </w:rPr>
                    <w:t xml:space="preserve"> </w:t>
                  </w:r>
                  <w:r>
                    <w:rPr>
                      <w:rFonts w:ascii="仿宋_GB2312" w:hAnsi="仿宋_GB2312" w:cs="仿宋_GB2312" w:eastAsia="仿宋_GB2312"/>
                      <w:sz w:val="24"/>
                      <w:color w:val="000000"/>
                    </w:rPr>
                    <w:t>配套服务</w:t>
                  </w:r>
                </w:p>
              </w:tc>
              <w:tc>
                <w:tcPr>
                  <w:tcW w:type="dxa" w:w="1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含种植密度把控、整地</w:t>
                  </w:r>
                  <w:r>
                    <w:rPr>
                      <w:rFonts w:ascii="仿宋_GB2312" w:hAnsi="仿宋_GB2312" w:cs="仿宋_GB2312" w:eastAsia="仿宋_GB2312"/>
                      <w:sz w:val="24"/>
                      <w:color w:val="000000"/>
                    </w:rPr>
                    <w:t>（</w:t>
                  </w:r>
                  <w:r>
                    <w:rPr>
                      <w:rFonts w:ascii="仿宋_GB2312" w:hAnsi="仿宋_GB2312" w:cs="仿宋_GB2312" w:eastAsia="仿宋_GB2312"/>
                      <w:sz w:val="24"/>
                      <w:color w:val="000000"/>
                    </w:rPr>
                    <w:t>含疏林</w:t>
                  </w:r>
                  <w:r>
                    <w:rPr>
                      <w:rFonts w:ascii="仿宋_GB2312" w:hAnsi="仿宋_GB2312" w:cs="仿宋_GB2312" w:eastAsia="仿宋_GB2312"/>
                      <w:sz w:val="24"/>
                      <w:color w:val="000000"/>
                    </w:rPr>
                    <w:t>）</w:t>
                  </w:r>
                  <w:r>
                    <w:rPr>
                      <w:rFonts w:ascii="仿宋_GB2312" w:hAnsi="仿宋_GB2312" w:cs="仿宋_GB2312" w:eastAsia="仿宋_GB2312"/>
                      <w:sz w:val="24"/>
                      <w:color w:val="000000"/>
                    </w:rPr>
                    <w:t>、定植、浇水、初期</w:t>
                  </w:r>
                  <w:r>
                    <w:rPr>
                      <w:rFonts w:ascii="仿宋_GB2312" w:hAnsi="仿宋_GB2312" w:cs="仿宋_GB2312" w:eastAsia="仿宋_GB2312"/>
                      <w:sz w:val="24"/>
                      <w:color w:val="000000"/>
                    </w:rPr>
                    <w:t>管护指导，</w:t>
                  </w:r>
                  <w:r>
                    <w:rPr>
                      <w:rFonts w:ascii="仿宋_GB2312" w:hAnsi="仿宋_GB2312" w:cs="仿宋_GB2312" w:eastAsia="仿宋_GB2312"/>
                      <w:sz w:val="24"/>
                      <w:color w:val="000000"/>
                    </w:rPr>
                    <w:t>种苗</w:t>
                  </w:r>
                  <w:r>
                    <w:rPr>
                      <w:rFonts w:ascii="仿宋_GB2312" w:hAnsi="仿宋_GB2312" w:cs="仿宋_GB2312" w:eastAsia="仿宋_GB2312"/>
                      <w:sz w:val="24"/>
                      <w:color w:val="000000"/>
                    </w:rPr>
                    <w:t>售后保障（</w:t>
                  </w:r>
                  <w:r>
                    <w:rPr>
                      <w:rFonts w:ascii="仿宋_GB2312" w:hAnsi="仿宋_GB2312" w:cs="仿宋_GB2312" w:eastAsia="仿宋_GB2312"/>
                      <w:sz w:val="24"/>
                      <w:color w:val="000000"/>
                    </w:rPr>
                    <w:t>3 个月质保期内，</w:t>
                  </w:r>
                  <w:r>
                    <w:rPr>
                      <w:rFonts w:ascii="仿宋_GB2312" w:hAnsi="仿宋_GB2312" w:cs="仿宋_GB2312" w:eastAsia="仿宋_GB2312"/>
                    </w:rPr>
                    <w:t xml:space="preserve"> </w:t>
                  </w:r>
                  <w:r>
                    <w:rPr>
                      <w:rFonts w:ascii="仿宋_GB2312" w:hAnsi="仿宋_GB2312" w:cs="仿宋_GB2312" w:eastAsia="仿宋_GB2312"/>
                      <w:sz w:val="24"/>
                      <w:color w:val="000000"/>
                    </w:rPr>
                    <w:t>若因</w:t>
                  </w:r>
                  <w:r>
                    <w:rPr>
                      <w:rFonts w:ascii="仿宋_GB2312" w:hAnsi="仿宋_GB2312" w:cs="仿宋_GB2312" w:eastAsia="仿宋_GB2312"/>
                      <w:sz w:val="24"/>
                      <w:color w:val="000000"/>
                    </w:rPr>
                    <w:t>种苗</w:t>
                  </w:r>
                  <w:r>
                    <w:rPr>
                      <w:rFonts w:ascii="仿宋_GB2312" w:hAnsi="仿宋_GB2312" w:cs="仿宋_GB2312" w:eastAsia="仿宋_GB2312"/>
                      <w:sz w:val="24"/>
                      <w:color w:val="000000"/>
                    </w:rPr>
                    <w:t>质量问题（品种、病虫害、成活率</w:t>
                  </w:r>
                  <w:r>
                    <w:rPr>
                      <w:rFonts w:ascii="仿宋_GB2312" w:hAnsi="仿宋_GB2312" w:cs="仿宋_GB2312" w:eastAsia="仿宋_GB2312"/>
                    </w:rPr>
                    <w:t xml:space="preserve"> </w:t>
                  </w:r>
                  <w:r>
                    <w:rPr>
                      <w:rFonts w:ascii="仿宋_GB2312" w:hAnsi="仿宋_GB2312" w:cs="仿宋_GB2312" w:eastAsia="仿宋_GB2312"/>
                      <w:sz w:val="24"/>
                      <w:color w:val="000000"/>
                    </w:rPr>
                    <w:t>不达标）免费更换、补齐</w:t>
                  </w:r>
                  <w:r>
                    <w:rPr>
                      <w:rFonts w:ascii="仿宋_GB2312" w:hAnsi="仿宋_GB2312" w:cs="仿宋_GB2312" w:eastAsia="仿宋_GB2312"/>
                      <w:sz w:val="24"/>
                      <w:color w:val="000000"/>
                    </w:rPr>
                    <w:t>，</w:t>
                  </w:r>
                  <w:r>
                    <w:rPr>
                      <w:rFonts w:ascii="仿宋_GB2312" w:hAnsi="仿宋_GB2312" w:cs="仿宋_GB2312" w:eastAsia="仿宋_GB2312"/>
                      <w:sz w:val="24"/>
                      <w:color w:val="000000"/>
                    </w:rPr>
                    <w:t>种苗成活率</w:t>
                  </w:r>
                  <w:r>
                    <w:rPr>
                      <w:rFonts w:ascii="仿宋_GB2312" w:hAnsi="仿宋_GB2312" w:cs="仿宋_GB2312" w:eastAsia="仿宋_GB2312"/>
                      <w:sz w:val="24"/>
                      <w:color w:val="000000"/>
                    </w:rPr>
                    <w:t>≥95%</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1）株距：</w:t>
                  </w:r>
                  <w:r>
                    <w:rPr>
                      <w:rFonts w:ascii="仿宋_GB2312" w:hAnsi="仿宋_GB2312" w:cs="仿宋_GB2312" w:eastAsia="仿宋_GB2312"/>
                      <w:sz w:val="24"/>
                      <w:color w:val="000000"/>
                    </w:rPr>
                    <w:t>2</w:t>
                  </w:r>
                  <w:r>
                    <w:rPr>
                      <w:rFonts w:ascii="仿宋_GB2312" w:hAnsi="仿宋_GB2312" w:cs="仿宋_GB2312" w:eastAsia="仿宋_GB2312"/>
                      <w:sz w:val="24"/>
                      <w:color w:val="000000"/>
                    </w:rPr>
                    <w:t>0-</w:t>
                  </w:r>
                  <w:r>
                    <w:rPr>
                      <w:rFonts w:ascii="仿宋_GB2312" w:hAnsi="仿宋_GB2312" w:cs="仿宋_GB2312" w:eastAsia="仿宋_GB2312"/>
                      <w:sz w:val="24"/>
                      <w:color w:val="000000"/>
                    </w:rPr>
                    <w:t>3</w:t>
                  </w:r>
                  <w:r>
                    <w:rPr>
                      <w:rFonts w:ascii="仿宋_GB2312" w:hAnsi="仿宋_GB2312" w:cs="仿宋_GB2312" w:eastAsia="仿宋_GB2312"/>
                      <w:sz w:val="24"/>
                      <w:color w:val="000000"/>
                    </w:rPr>
                    <w:t>0cm；行距：</w:t>
                  </w:r>
                  <w:r>
                    <w:rPr>
                      <w:rFonts w:ascii="仿宋_GB2312" w:hAnsi="仿宋_GB2312" w:cs="仿宋_GB2312" w:eastAsia="仿宋_GB2312"/>
                      <w:sz w:val="24"/>
                      <w:color w:val="000000"/>
                    </w:rPr>
                    <w:t>3</w:t>
                  </w:r>
                  <w:r>
                    <w:rPr>
                      <w:rFonts w:ascii="仿宋_GB2312" w:hAnsi="仿宋_GB2312" w:cs="仿宋_GB2312" w:eastAsia="仿宋_GB2312"/>
                      <w:sz w:val="24"/>
                      <w:color w:val="000000"/>
                    </w:rPr>
                    <w:t>0-</w:t>
                  </w:r>
                  <w:r>
                    <w:rPr>
                      <w:rFonts w:ascii="仿宋_GB2312" w:hAnsi="仿宋_GB2312" w:cs="仿宋_GB2312" w:eastAsia="仿宋_GB2312"/>
                      <w:sz w:val="24"/>
                      <w:color w:val="000000"/>
                    </w:rPr>
                    <w:t>4</w:t>
                  </w:r>
                  <w:r>
                    <w:rPr>
                      <w:rFonts w:ascii="仿宋_GB2312" w:hAnsi="仿宋_GB2312" w:cs="仿宋_GB2312" w:eastAsia="仿宋_GB2312"/>
                      <w:sz w:val="24"/>
                      <w:color w:val="000000"/>
                    </w:rPr>
                    <w:t>0cm；</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2）穴规格：穴深</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sz w:val="24"/>
                      <w:color w:val="000000"/>
                    </w:rPr>
                    <w:t>0-</w:t>
                  </w:r>
                  <w:r>
                    <w:rPr>
                      <w:rFonts w:ascii="仿宋_GB2312" w:hAnsi="仿宋_GB2312" w:cs="仿宋_GB2312" w:eastAsia="仿宋_GB2312"/>
                      <w:sz w:val="24"/>
                      <w:color w:val="000000"/>
                    </w:rPr>
                    <w:t>15</w:t>
                  </w:r>
                  <w:r>
                    <w:rPr>
                      <w:rFonts w:ascii="仿宋_GB2312" w:hAnsi="仿宋_GB2312" w:cs="仿宋_GB2312" w:eastAsia="仿宋_GB2312"/>
                      <w:sz w:val="24"/>
                      <w:color w:val="000000"/>
                    </w:rPr>
                    <w:t>cm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3）覆土深度：芽朝上，覆土</w:t>
                  </w:r>
                  <w:r>
                    <w:rPr>
                      <w:rFonts w:ascii="仿宋_GB2312" w:hAnsi="仿宋_GB2312" w:cs="仿宋_GB2312" w:eastAsia="仿宋_GB2312"/>
                    </w:rPr>
                    <w:t xml:space="preserve"> </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cm</w:t>
                  </w:r>
                  <w:r>
                    <w:rPr>
                      <w:rFonts w:ascii="仿宋_GB2312" w:hAnsi="仿宋_GB2312" w:cs="仿宋_GB2312" w:eastAsia="仿宋_GB2312"/>
                      <w:sz w:val="24"/>
                      <w:color w:val="000000"/>
                    </w:rPr>
                    <w:t>；</w:t>
                  </w:r>
                </w:p>
              </w:tc>
              <w:tc>
                <w:tcPr>
                  <w:tcW w:type="dxa" w:w="1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亩</w:t>
                  </w:r>
                </w:p>
              </w:tc>
              <w:tc>
                <w:tcPr>
                  <w:tcW w:type="dxa" w:w="3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24</w:t>
                  </w:r>
                  <w:r>
                    <w:rPr>
                      <w:rFonts w:ascii="仿宋_GB2312" w:hAnsi="仿宋_GB2312" w:cs="仿宋_GB2312" w:eastAsia="仿宋_GB2312"/>
                      <w:sz w:val="24"/>
                      <w:color w:val="000000"/>
                    </w:rPr>
                    <w:t>0</w:t>
                  </w:r>
                </w:p>
              </w:tc>
              <w:tc>
                <w:tcPr>
                  <w:tcW w:type="dxa" w:w="3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含种植工具</w:t>
                  </w:r>
                  <w:r>
                    <w:rPr>
                      <w:rFonts w:ascii="仿宋_GB2312" w:hAnsi="仿宋_GB2312" w:cs="仿宋_GB2312" w:eastAsia="仿宋_GB2312"/>
                      <w:sz w:val="24"/>
                      <w:color w:val="000000"/>
                    </w:rPr>
                    <w:t>使用、人工</w:t>
                  </w:r>
                  <w:r>
                    <w:rPr>
                      <w:rFonts w:ascii="仿宋_GB2312" w:hAnsi="仿宋_GB2312" w:cs="仿宋_GB2312" w:eastAsia="仿宋_GB2312"/>
                      <w:sz w:val="24"/>
                      <w:color w:val="000000"/>
                    </w:rPr>
                    <w:t>成本</w:t>
                  </w:r>
                </w:p>
              </w:tc>
            </w:tr>
            <w:tr>
              <w:tc>
                <w:tcPr>
                  <w:tcW w:type="dxa" w:w="1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1.3</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种植技术指</w:t>
                  </w:r>
                </w:p>
                <w:p>
                  <w:pPr>
                    <w:pStyle w:val="null3"/>
                    <w:jc w:val="center"/>
                  </w:pPr>
                  <w:r>
                    <w:rPr>
                      <w:rFonts w:ascii="仿宋_GB2312" w:hAnsi="仿宋_GB2312" w:cs="仿宋_GB2312" w:eastAsia="仿宋_GB2312"/>
                      <w:sz w:val="24"/>
                      <w:color w:val="000000"/>
                    </w:rPr>
                    <w:t>导</w:t>
                  </w:r>
                </w:p>
              </w:tc>
              <w:tc>
                <w:tcPr>
                  <w:tcW w:type="dxa" w:w="1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含种植前</w:t>
                  </w:r>
                  <w:r>
                    <w:rPr>
                      <w:rFonts w:ascii="仿宋_GB2312" w:hAnsi="仿宋_GB2312" w:cs="仿宋_GB2312" w:eastAsia="仿宋_GB2312"/>
                      <w:sz w:val="24"/>
                      <w:color w:val="000000"/>
                    </w:rPr>
                    <w:t>种植基地勘测</w:t>
                  </w:r>
                  <w:r>
                    <w:rPr>
                      <w:rFonts w:ascii="仿宋_GB2312" w:hAnsi="仿宋_GB2312" w:cs="仿宋_GB2312" w:eastAsia="仿宋_GB2312"/>
                      <w:sz w:val="24"/>
                      <w:color w:val="000000"/>
                    </w:rPr>
                    <w:t>、种植期间水肥管理指</w:t>
                  </w:r>
                  <w:r>
                    <w:rPr>
                      <w:rFonts w:ascii="仿宋_GB2312" w:hAnsi="仿宋_GB2312" w:cs="仿宋_GB2312" w:eastAsia="仿宋_GB2312"/>
                    </w:rPr>
                    <w:t xml:space="preserve">  </w:t>
                  </w:r>
                  <w:r>
                    <w:rPr>
                      <w:rFonts w:ascii="仿宋_GB2312" w:hAnsi="仿宋_GB2312" w:cs="仿宋_GB2312" w:eastAsia="仿宋_GB2312"/>
                      <w:sz w:val="24"/>
                      <w:color w:val="000000"/>
                    </w:rPr>
                    <w:t>导、病虫害防治技术培训（不少于</w:t>
                  </w:r>
                  <w:r>
                    <w:rPr>
                      <w:rFonts w:ascii="仿宋_GB2312" w:hAnsi="仿宋_GB2312" w:cs="仿宋_GB2312" w:eastAsia="仿宋_GB2312"/>
                      <w:sz w:val="24"/>
                      <w:color w:val="000000"/>
                    </w:rPr>
                    <w:t xml:space="preserve"> 3 次上</w:t>
                  </w:r>
                  <w:r>
                    <w:rPr>
                      <w:rFonts w:ascii="仿宋_GB2312" w:hAnsi="仿宋_GB2312" w:cs="仿宋_GB2312" w:eastAsia="仿宋_GB2312"/>
                    </w:rPr>
                    <w:t xml:space="preserve"> </w:t>
                  </w:r>
                  <w:r>
                    <w:rPr>
                      <w:rFonts w:ascii="仿宋_GB2312" w:hAnsi="仿宋_GB2312" w:cs="仿宋_GB2312" w:eastAsia="仿宋_GB2312"/>
                      <w:sz w:val="24"/>
                      <w:color w:val="000000"/>
                    </w:rPr>
                    <w:t>门）</w:t>
                  </w:r>
                </w:p>
              </w:tc>
              <w:tc>
                <w:tcPr>
                  <w:tcW w:type="dxa" w:w="1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项</w:t>
                  </w:r>
                </w:p>
              </w:tc>
              <w:tc>
                <w:tcPr>
                  <w:tcW w:type="dxa" w:w="3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3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含技术人员</w:t>
                  </w:r>
                  <w:r>
                    <w:rPr>
                      <w:rFonts w:ascii="仿宋_GB2312" w:hAnsi="仿宋_GB2312" w:cs="仿宋_GB2312" w:eastAsia="仿宋_GB2312"/>
                      <w:sz w:val="24"/>
                      <w:color w:val="000000"/>
                    </w:rPr>
                    <w:t>差旅、培训</w:t>
                  </w:r>
                  <w:r>
                    <w:rPr>
                      <w:rFonts w:ascii="仿宋_GB2312" w:hAnsi="仿宋_GB2312" w:cs="仿宋_GB2312" w:eastAsia="仿宋_GB2312"/>
                      <w:sz w:val="24"/>
                      <w:color w:val="000000"/>
                    </w:rPr>
                    <w:t>资料</w:t>
                  </w:r>
                </w:p>
              </w:tc>
            </w:tr>
          </w:tbl>
          <w:tbl>
            <w:tblPr>
              <w:tblInd w:type="dxa" w:w="105"/>
              <w:tblBorders>
                <w:top w:val="none" w:color="000000" w:sz="4"/>
                <w:left w:val="none" w:color="000000" w:sz="4"/>
                <w:bottom w:val="none" w:color="000000" w:sz="4"/>
                <w:right w:val="none" w:color="000000" w:sz="4"/>
                <w:insideH w:val="none"/>
                <w:insideV w:val="none"/>
              </w:tblBorders>
            </w:tblPr>
            <w:tblGrid>
              <w:gridCol w:w="180"/>
              <w:gridCol w:w="267"/>
              <w:gridCol w:w="1082"/>
              <w:gridCol w:w="210"/>
              <w:gridCol w:w="351"/>
              <w:gridCol w:w="452"/>
            </w:tblGrid>
            <w:tr>
              <w:tc>
                <w:tcPr>
                  <w:tcW w:type="dxa" w:w="1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序号</w:t>
                  </w:r>
                </w:p>
              </w:tc>
              <w:tc>
                <w:tcPr>
                  <w:tcW w:type="dxa" w:w="26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2.</w:t>
                  </w:r>
                </w:p>
                <w:p>
                  <w:pPr>
                    <w:pStyle w:val="null3"/>
                    <w:jc w:val="center"/>
                  </w:pPr>
                  <w:r>
                    <w:rPr>
                      <w:rFonts w:ascii="仿宋_GB2312" w:hAnsi="仿宋_GB2312" w:cs="仿宋_GB2312" w:eastAsia="仿宋_GB2312"/>
                      <w:sz w:val="24"/>
                      <w:color w:val="000000"/>
                    </w:rPr>
                    <w:t>12</w:t>
                  </w:r>
                  <w:r>
                    <w:rPr>
                      <w:rFonts w:ascii="仿宋_GB2312" w:hAnsi="仿宋_GB2312" w:cs="仿宋_GB2312" w:eastAsia="仿宋_GB2312"/>
                      <w:sz w:val="24"/>
                      <w:color w:val="000000"/>
                    </w:rPr>
                    <w:t>千米</w:t>
                  </w:r>
                  <w:r>
                    <w:rPr>
                      <w:rFonts w:ascii="仿宋_GB2312" w:hAnsi="仿宋_GB2312" w:cs="仿宋_GB2312" w:eastAsia="仿宋_GB2312"/>
                      <w:sz w:val="24"/>
                      <w:color w:val="000000"/>
                    </w:rPr>
                    <w:t>防护围</w:t>
                  </w:r>
                  <w:r>
                    <w:rPr>
                      <w:rFonts w:ascii="仿宋_GB2312" w:hAnsi="仿宋_GB2312" w:cs="仿宋_GB2312" w:eastAsia="仿宋_GB2312"/>
                      <w:sz w:val="24"/>
                      <w:color w:val="000000"/>
                    </w:rPr>
                    <w:t>栏采购</w:t>
                  </w:r>
                  <w:r>
                    <w:rPr>
                      <w:rFonts w:ascii="仿宋_GB2312" w:hAnsi="仿宋_GB2312" w:cs="仿宋_GB2312" w:eastAsia="仿宋_GB2312"/>
                      <w:sz w:val="24"/>
                      <w:color w:val="000000"/>
                    </w:rPr>
                    <w:t>及安装</w:t>
                  </w:r>
                </w:p>
                <w:p>
                  <w:pPr>
                    <w:pStyle w:val="null3"/>
                    <w:jc w:val="center"/>
                  </w:pPr>
                  <w:r>
                    <w:rPr>
                      <w:rFonts w:ascii="仿宋_GB2312" w:hAnsi="仿宋_GB2312" w:cs="仿宋_GB2312" w:eastAsia="仿宋_GB2312"/>
                      <w:sz w:val="24"/>
                      <w:b/>
                      <w:color w:val="000000"/>
                    </w:rPr>
                    <w:t>分项名称</w:t>
                  </w:r>
                </w:p>
              </w:tc>
              <w:tc>
                <w:tcPr>
                  <w:tcW w:type="dxa" w:w="108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规格参数</w:t>
                  </w:r>
                </w:p>
              </w:tc>
              <w:tc>
                <w:tcPr>
                  <w:tcW w:type="dxa" w:w="2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单位</w:t>
                  </w:r>
                </w:p>
              </w:tc>
              <w:tc>
                <w:tcPr>
                  <w:tcW w:type="dxa" w:w="3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数量</w:t>
                  </w:r>
                </w:p>
              </w:tc>
              <w:tc>
                <w:tcPr>
                  <w:tcW w:type="dxa" w:w="45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备注</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2.1</w:t>
                  </w:r>
                </w:p>
              </w:tc>
              <w:tc>
                <w:tcPr>
                  <w:tcW w:type="dxa" w:w="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围栏</w:t>
                  </w:r>
                </w:p>
                <w:p>
                  <w:pPr>
                    <w:pStyle w:val="null3"/>
                    <w:jc w:val="center"/>
                  </w:pPr>
                  <w:r>
                    <w:rPr>
                      <w:rFonts w:ascii="仿宋_GB2312" w:hAnsi="仿宋_GB2312" w:cs="仿宋_GB2312" w:eastAsia="仿宋_GB2312"/>
                      <w:sz w:val="24"/>
                      <w:color w:val="000000"/>
                    </w:rPr>
                    <w:t>立柱</w:t>
                  </w:r>
                </w:p>
              </w:tc>
              <w:tc>
                <w:tcPr>
                  <w:tcW w:type="dxa" w:w="10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1）材质与规格：立柱：</w:t>
                  </w:r>
                  <w:r>
                    <w:rPr>
                      <w:rFonts w:ascii="仿宋_GB2312" w:hAnsi="仿宋_GB2312" w:cs="仿宋_GB2312" w:eastAsia="仿宋_GB2312"/>
                      <w:sz w:val="24"/>
                      <w:color w:val="000000"/>
                    </w:rPr>
                    <w:t>高</w:t>
                  </w:r>
                  <w:r>
                    <w:rPr>
                      <w:rFonts w:ascii="仿宋_GB2312" w:hAnsi="仿宋_GB2312" w:cs="仿宋_GB2312" w:eastAsia="仿宋_GB2312"/>
                    </w:rPr>
                    <w:t xml:space="preserve"> </w:t>
                  </w:r>
                  <w:r>
                    <w:rPr>
                      <w:rFonts w:ascii="仿宋_GB2312" w:hAnsi="仿宋_GB2312" w:cs="仿宋_GB2312" w:eastAsia="仿宋_GB2312"/>
                      <w:sz w:val="24"/>
                      <w:color w:val="000000"/>
                    </w:rPr>
                    <w:t>1.5m-1.8m；</w:t>
                  </w:r>
                  <w:r>
                    <w:rPr>
                      <w:rFonts w:ascii="仿宋_GB2312" w:hAnsi="仿宋_GB2312" w:cs="仿宋_GB2312" w:eastAsia="仿宋_GB2312"/>
                      <w:sz w:val="24"/>
                      <w:color w:val="000000"/>
                    </w:rPr>
                    <w:t>材质：</w:t>
                  </w:r>
                  <w:r>
                    <w:rPr>
                      <w:rFonts w:ascii="仿宋_GB2312" w:hAnsi="仿宋_GB2312" w:cs="仿宋_GB2312" w:eastAsia="仿宋_GB2312"/>
                      <w:sz w:val="24"/>
                      <w:color w:val="000000"/>
                    </w:rPr>
                    <w:t>木头</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2）高度与埋深：立柱高度 =</w:t>
                  </w:r>
                  <w:r>
                    <w:rPr>
                      <w:rFonts w:ascii="仿宋_GB2312" w:hAnsi="仿宋_GB2312" w:cs="仿宋_GB2312" w:eastAsia="仿宋_GB2312"/>
                    </w:rPr>
                    <w:t xml:space="preserve"> </w:t>
                  </w:r>
                  <w:r>
                    <w:rPr>
                      <w:rFonts w:ascii="仿宋_GB2312" w:hAnsi="仿宋_GB2312" w:cs="仿宋_GB2312" w:eastAsia="仿宋_GB2312"/>
                      <w:sz w:val="24"/>
                      <w:color w:val="000000"/>
                    </w:rPr>
                    <w:t>网高：</w:t>
                  </w:r>
                  <w:r>
                    <w:rPr>
                      <w:rFonts w:ascii="仿宋_GB2312" w:hAnsi="仿宋_GB2312" w:cs="仿宋_GB2312" w:eastAsia="仿宋_GB2312"/>
                      <w:sz w:val="24"/>
                      <w:color w:val="000000"/>
                    </w:rPr>
                    <w:t>1.5-1.8m + 埋深（埋深： 黄</w:t>
                  </w:r>
                  <w:r>
                    <w:rPr>
                      <w:rFonts w:ascii="仿宋_GB2312" w:hAnsi="仿宋_GB2312" w:cs="仿宋_GB2312" w:eastAsia="仿宋_GB2312"/>
                      <w:sz w:val="24"/>
                      <w:color w:val="000000"/>
                    </w:rPr>
                    <w:t>土、黏土</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0.3m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3）间距：≤3m；</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4）抗风：</w:t>
                  </w:r>
                  <w:r>
                    <w:rPr>
                      <w:rFonts w:ascii="仿宋_GB2312" w:hAnsi="仿宋_GB2312" w:cs="仿宋_GB2312" w:eastAsia="仿宋_GB2312"/>
                    </w:rPr>
                    <w:t xml:space="preserve"> </w:t>
                  </w:r>
                  <w:r>
                    <w:rPr>
                      <w:rFonts w:ascii="仿宋_GB2312" w:hAnsi="仿宋_GB2312" w:cs="仿宋_GB2312" w:eastAsia="仿宋_GB2312"/>
                      <w:sz w:val="24"/>
                      <w:color w:val="000000"/>
                    </w:rPr>
                    <w:t>≥0.5kN/m² (≥8 级风）</w:t>
                  </w:r>
                </w:p>
              </w:tc>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根</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38</w:t>
                  </w:r>
                  <w:r>
                    <w:rPr>
                      <w:rFonts w:ascii="仿宋_GB2312" w:hAnsi="仿宋_GB2312" w:cs="仿宋_GB2312" w:eastAsia="仿宋_GB2312"/>
                      <w:sz w:val="24"/>
                      <w:color w:val="000000"/>
                    </w:rPr>
                    <w:t>00</w:t>
                  </w:r>
                </w:p>
              </w:tc>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含立柱加工</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2.2</w:t>
                  </w:r>
                </w:p>
              </w:tc>
              <w:tc>
                <w:tcPr>
                  <w:tcW w:type="dxa" w:w="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围栏网</w:t>
                  </w:r>
                </w:p>
              </w:tc>
              <w:tc>
                <w:tcPr>
                  <w:tcW w:type="dxa" w:w="10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1）材质：使用电子围栏专用线；</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2）电子围栏：</w:t>
                  </w:r>
                  <w:r>
                    <w:rPr>
                      <w:rFonts w:ascii="仿宋_GB2312" w:hAnsi="仿宋_GB2312" w:cs="仿宋_GB2312" w:eastAsia="仿宋_GB2312"/>
                      <w:sz w:val="24"/>
                      <w:color w:val="000000"/>
                    </w:rPr>
                    <w:t>三</w:t>
                  </w:r>
                  <w:r>
                    <w:rPr>
                      <w:rFonts w:ascii="仿宋_GB2312" w:hAnsi="仿宋_GB2312" w:cs="仿宋_GB2312" w:eastAsia="仿宋_GB2312"/>
                      <w:sz w:val="24"/>
                      <w:color w:val="000000"/>
                    </w:rPr>
                    <w:t>排拉线，上下距离</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30</w:t>
                  </w:r>
                  <w:r>
                    <w:rPr>
                      <w:rFonts w:ascii="仿宋_GB2312" w:hAnsi="仿宋_GB2312" w:cs="仿宋_GB2312" w:eastAsia="仿宋_GB2312"/>
                      <w:sz w:val="24"/>
                      <w:color w:val="000000"/>
                    </w:rPr>
                    <w:t>0mm</w:t>
                  </w:r>
                </w:p>
              </w:tc>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米</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36</w:t>
                  </w:r>
                  <w:r>
                    <w:rPr>
                      <w:rFonts w:ascii="仿宋_GB2312" w:hAnsi="仿宋_GB2312" w:cs="仿宋_GB2312" w:eastAsia="仿宋_GB2312"/>
                      <w:sz w:val="24"/>
                      <w:color w:val="000000"/>
                    </w:rPr>
                    <w:t>000</w:t>
                  </w:r>
                </w:p>
              </w:tc>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含网面采购、防</w:t>
                  </w:r>
                  <w:r>
                    <w:rPr>
                      <w:rFonts w:ascii="仿宋_GB2312" w:hAnsi="仿宋_GB2312" w:cs="仿宋_GB2312" w:eastAsia="仿宋_GB2312"/>
                    </w:rPr>
                    <w:t xml:space="preserve"> </w:t>
                  </w:r>
                  <w:r>
                    <w:rPr>
                      <w:rFonts w:ascii="仿宋_GB2312" w:hAnsi="仿宋_GB2312" w:cs="仿宋_GB2312" w:eastAsia="仿宋_GB2312"/>
                      <w:sz w:val="24"/>
                      <w:color w:val="000000"/>
                    </w:rPr>
                    <w:t>腐处理</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2.3</w:t>
                  </w:r>
                </w:p>
              </w:tc>
              <w:tc>
                <w:tcPr>
                  <w:tcW w:type="dxa" w:w="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连接件</w:t>
                  </w:r>
                </w:p>
                <w:p>
                  <w:pPr>
                    <w:pStyle w:val="null3"/>
                    <w:jc w:val="center"/>
                  </w:pPr>
                  <w:r>
                    <w:rPr>
                      <w:rFonts w:ascii="仿宋_GB2312" w:hAnsi="仿宋_GB2312" w:cs="仿宋_GB2312" w:eastAsia="仿宋_GB2312"/>
                      <w:sz w:val="24"/>
                      <w:color w:val="000000"/>
                    </w:rPr>
                    <w:t>及辅料</w:t>
                  </w:r>
                </w:p>
              </w:tc>
              <w:tc>
                <w:tcPr>
                  <w:tcW w:type="dxa" w:w="10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含紧线器、绝缘钩、主机、太阳能板、电</w:t>
                  </w:r>
                  <w:r>
                    <w:rPr>
                      <w:rFonts w:ascii="仿宋_GB2312" w:hAnsi="仿宋_GB2312" w:cs="仿宋_GB2312" w:eastAsia="仿宋_GB2312"/>
                    </w:rPr>
                    <w:t xml:space="preserve"> </w:t>
                  </w:r>
                  <w:r>
                    <w:rPr>
                      <w:rFonts w:ascii="仿宋_GB2312" w:hAnsi="仿宋_GB2312" w:cs="仿宋_GB2312" w:eastAsia="仿宋_GB2312"/>
                      <w:sz w:val="24"/>
                      <w:color w:val="000000"/>
                    </w:rPr>
                    <w:t>瓶等，用于立柱固定、围栏连接</w:t>
                  </w:r>
                </w:p>
              </w:tc>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套</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w:t>
                  </w:r>
                </w:p>
              </w:tc>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含所有辅材采</w:t>
                  </w:r>
                  <w:r>
                    <w:rPr>
                      <w:rFonts w:ascii="仿宋_GB2312" w:hAnsi="仿宋_GB2312" w:cs="仿宋_GB2312" w:eastAsia="仿宋_GB2312"/>
                    </w:rPr>
                    <w:t xml:space="preserve"> </w:t>
                  </w:r>
                  <w:r>
                    <w:rPr>
                      <w:rFonts w:ascii="仿宋_GB2312" w:hAnsi="仿宋_GB2312" w:cs="仿宋_GB2312" w:eastAsia="仿宋_GB2312"/>
                      <w:sz w:val="24"/>
                      <w:color w:val="000000"/>
                    </w:rPr>
                    <w:t>购、加工</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2.5</w:t>
                  </w:r>
                </w:p>
              </w:tc>
              <w:tc>
                <w:tcPr>
                  <w:tcW w:type="dxa" w:w="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围栏安</w:t>
                  </w:r>
                </w:p>
                <w:p>
                  <w:pPr>
                    <w:pStyle w:val="null3"/>
                    <w:jc w:val="center"/>
                  </w:pPr>
                  <w:r>
                    <w:rPr>
                      <w:rFonts w:ascii="仿宋_GB2312" w:hAnsi="仿宋_GB2312" w:cs="仿宋_GB2312" w:eastAsia="仿宋_GB2312"/>
                      <w:sz w:val="24"/>
                      <w:color w:val="000000"/>
                    </w:rPr>
                    <w:t>装施工</w:t>
                  </w:r>
                </w:p>
              </w:tc>
              <w:tc>
                <w:tcPr>
                  <w:tcW w:type="dxa" w:w="10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含立柱预埋、围栏网固定、调平校</w:t>
                  </w:r>
                  <w:r>
                    <w:rPr>
                      <w:rFonts w:ascii="仿宋_GB2312" w:hAnsi="仿宋_GB2312" w:cs="仿宋_GB2312" w:eastAsia="仿宋_GB2312"/>
                    </w:rPr>
                    <w:t xml:space="preserve"> </w:t>
                  </w:r>
                  <w:r>
                    <w:rPr>
                      <w:rFonts w:ascii="仿宋_GB2312" w:hAnsi="仿宋_GB2312" w:cs="仿宋_GB2312" w:eastAsia="仿宋_GB2312"/>
                      <w:sz w:val="24"/>
                      <w:color w:val="000000"/>
                    </w:rPr>
                    <w:t>正，确保围栏垂直牢固、无倾斜</w:t>
                  </w:r>
                </w:p>
              </w:tc>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米</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12</w:t>
                  </w:r>
                  <w:r>
                    <w:rPr>
                      <w:rFonts w:ascii="仿宋_GB2312" w:hAnsi="仿宋_GB2312" w:cs="仿宋_GB2312" w:eastAsia="仿宋_GB2312"/>
                      <w:sz w:val="24"/>
                      <w:color w:val="000000"/>
                    </w:rPr>
                    <w:t>000</w:t>
                  </w:r>
                </w:p>
              </w:tc>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含施工人工、机</w:t>
                  </w:r>
                </w:p>
                <w:p>
                  <w:pPr>
                    <w:pStyle w:val="null3"/>
                    <w:jc w:val="center"/>
                  </w:pPr>
                  <w:r>
                    <w:rPr>
                      <w:rFonts w:ascii="仿宋_GB2312" w:hAnsi="仿宋_GB2312" w:cs="仿宋_GB2312" w:eastAsia="仿宋_GB2312"/>
                      <w:sz w:val="24"/>
                      <w:color w:val="000000"/>
                    </w:rPr>
                    <w:t>械使用，质保期</w:t>
                  </w:r>
                </w:p>
                <w:p>
                  <w:pPr>
                    <w:pStyle w:val="null3"/>
                    <w:jc w:val="center"/>
                  </w:pPr>
                  <w:r>
                    <w:rPr>
                      <w:rFonts w:ascii="仿宋_GB2312" w:hAnsi="仿宋_GB2312" w:cs="仿宋_GB2312" w:eastAsia="仿宋_GB2312"/>
                      <w:sz w:val="24"/>
                      <w:color w:val="000000"/>
                    </w:rPr>
                    <w:t>内无额外费用</w:t>
                  </w:r>
                </w:p>
              </w:tc>
            </w:tr>
          </w:tbl>
          <w:p>
            <w:pPr>
              <w:pStyle w:val="null3"/>
              <w:jc w:val="left"/>
            </w:pPr>
            <w:r>
              <w:rPr>
                <w:rFonts w:ascii="仿宋_GB2312" w:hAnsi="仿宋_GB2312" w:cs="仿宋_GB2312" w:eastAsia="仿宋_GB2312"/>
              </w:rPr>
              <w:t xml:space="preserve"> </w:t>
            </w:r>
          </w:p>
          <w:p>
            <w:pPr>
              <w:pStyle w:val="null3"/>
              <w:jc w:val="left"/>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000000"/>
              </w:rPr>
              <w:t>工期：</w:t>
            </w:r>
            <w:r>
              <w:rPr>
                <w:rFonts w:ascii="仿宋_GB2312" w:hAnsi="仿宋_GB2312" w:cs="仿宋_GB2312" w:eastAsia="仿宋_GB2312"/>
                <w:sz w:val="24"/>
                <w:color w:val="000000"/>
              </w:rPr>
              <w:t>210日历天</w:t>
            </w:r>
            <w:r>
              <w:br/>
            </w:r>
            <w:r>
              <w:rPr>
                <w:rFonts w:ascii="仿宋_GB2312" w:hAnsi="仿宋_GB2312" w:cs="仿宋_GB2312" w:eastAsia="仿宋_GB2312"/>
                <w:sz w:val="24"/>
                <w:color w:val="000000"/>
              </w:rPr>
              <w:t>种苗售后保障（</w:t>
            </w:r>
            <w:r>
              <w:rPr>
                <w:rFonts w:ascii="仿宋_GB2312" w:hAnsi="仿宋_GB2312" w:cs="仿宋_GB2312" w:eastAsia="仿宋_GB2312"/>
                <w:sz w:val="24"/>
                <w:color w:val="000000"/>
              </w:rPr>
              <w:t>3 个月质保期内， 若因种苗质量问题（品种、病虫害、成活率 不达标）免费更换、补齐）</w:t>
            </w:r>
            <w:r>
              <w:rPr>
                <w:rFonts w:ascii="仿宋_GB2312" w:hAnsi="仿宋_GB2312" w:cs="仿宋_GB2312" w:eastAsia="仿宋_GB2312"/>
                <w:sz w:val="24"/>
                <w:color w:val="000000"/>
              </w:rPr>
              <w:t>，</w:t>
            </w:r>
            <w:r>
              <w:rPr>
                <w:rFonts w:ascii="仿宋_GB2312" w:hAnsi="仿宋_GB2312" w:cs="仿宋_GB2312" w:eastAsia="仿宋_GB2312"/>
                <w:sz w:val="24"/>
                <w:color w:val="000000"/>
              </w:rPr>
              <w:t>防护围栏质保期</w:t>
            </w:r>
            <w:r>
              <w:rPr>
                <w:rFonts w:ascii="仿宋_GB2312" w:hAnsi="仿宋_GB2312" w:cs="仿宋_GB2312" w:eastAsia="仿宋_GB2312"/>
                <w:sz w:val="24"/>
                <w:color w:val="000000"/>
              </w:rPr>
              <w:t>1年</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210日历天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供应商在合同规定的时间内完成供货按种植进度拨付下剩70%</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 止合同，依法向乙方进行经济索赔，并报请政府采购监督管理机关依法进行相应的行政处罚。甲方违约的，应当赔偿给乙方造成的经济损失。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供应商应提交的相关资格证明材料.pdf</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开标一览表 投标分项报价表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投标方案说明书.pdf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投标文件有法定代表人或授权委托人的签字或盖章并加盖投标供应商公章</w:t>
            </w:r>
          </w:p>
        </w:tc>
        <w:tc>
          <w:tcPr>
            <w:tcW w:type="dxa" w:w="1661"/>
          </w:tcPr>
          <w:p>
            <w:pPr>
              <w:pStyle w:val="null3"/>
            </w:pPr>
            <w:r>
              <w:rPr>
                <w:rFonts w:ascii="仿宋_GB2312" w:hAnsi="仿宋_GB2312" w:cs="仿宋_GB2312" w:eastAsia="仿宋_GB2312"/>
              </w:rPr>
              <w:t>开标一览表 服务内容及服务邀请应答表 中小企业声明函 商务应答表 投标方案说明书.pdf 投标函 残疾人福利性单位声明函 供应商应提交的相关资格证明材料.pdf 投标分项报价表 标的清单 投标文件封面 监狱企业的证明文件 供应商认为需要补充的其他内容.pdf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按照招标文件要求提交了保证金</w:t>
            </w:r>
          </w:p>
        </w:tc>
        <w:tc>
          <w:tcPr>
            <w:tcW w:type="dxa" w:w="1661"/>
          </w:tcPr>
          <w:p>
            <w:pPr>
              <w:pStyle w:val="null3"/>
            </w:pPr>
            <w:r>
              <w:rPr>
                <w:rFonts w:ascii="仿宋_GB2312" w:hAnsi="仿宋_GB2312" w:cs="仿宋_GB2312" w:eastAsia="仿宋_GB2312"/>
              </w:rPr>
              <w:t>供应商认为需要补充的其他内容.pdf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应符合招标文件的规定</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一、评审内容 采购标的技术参数清楚、明确。 二、赋分标准 能全部响应招标文件所有参数要求,得6分；有负偏离每项扣1分,扣完为止；以技术偏离表为准。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针对本项目提供完整、合理、详细的实施方案，方案包含：①项目组织和人员安排；②服务人员组织管理制度；③采购运输；④质量保证措施；⑤供货计划与进度保障；⑥验收及交接计划。 二、赋分标准 1、完整性：方案内容完整全面，对上述各项内容均有描述及说明，得6分；缺1项，得5分；缺2项，得4分；缺3项至5项，得1分。 2、针对性：针对性强，得4分；针对性一般，得2分；缺乏针对性，不得分。 3、可实施性:可实施性强,得4分；可实施性一般，得2分；缺乏可实施性,不得分。 4、不提供此项的,不得分。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一、评审内容 品种适宜当地气候、土壤、种植情况，品种纯度、净度、水分指标、健康度，检疫性有害生物、产品健康检测、种传病害防控措施，检测机制，产品各批次检测、留样、追溯体系。包含：①品种适应性；②质量检测与控制；③产品质量指标；④包装、标识、储存方案；⑤检疫与安全性。 二、赋分标准 1、完整性:方案内容完整全面，对上述各项内容均有描述及说明,得5分；缺1项,得4分；缺2项,得3分；缺3项至4项，得1分。 2、针对性：针对性强，得4分；针对性一般，得2分；缺乏针对性，不得分。 3、可实施性:可实施性强，得4分；可实施性一般，得2分；缺乏可实施性,不得分。 4、不提供此项的，不得分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种植日常维护和管理</w:t>
            </w:r>
          </w:p>
        </w:tc>
        <w:tc>
          <w:tcPr>
            <w:tcW w:type="dxa" w:w="2492"/>
          </w:tcPr>
          <w:p>
            <w:pPr>
              <w:pStyle w:val="null3"/>
            </w:pPr>
            <w:r>
              <w:rPr>
                <w:rFonts w:ascii="仿宋_GB2312" w:hAnsi="仿宋_GB2312" w:cs="仿宋_GB2312" w:eastAsia="仿宋_GB2312"/>
              </w:rPr>
              <w:t>一、评审内容 针对项目实际情况提出切实可行有具体措施的抚育质量保证方案及具体的管护措施：内容包括：①选地与整地；② 挖穴；③栽植要点；④中耕除草；⑤追肥；⑥病虫害防治；⑦采收。 二、赋分标准 1、完整性:方案内容完整全面，对上述各项内容均有描述及说明,得7分；缺1项,得6分；缺2项，得5分；缺3项,得4分；缺4项至6项，得1分。 2、针对性：针对性强，得4分；针对性一般，得2分；缺乏针对性，不得分。 3、可实施性:可实施性强，得4分；可实施性一般，得2分；缺乏可实施性,不得分。 4、不提供此项的，不得分。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应急处理措施</w:t>
            </w:r>
          </w:p>
        </w:tc>
        <w:tc>
          <w:tcPr>
            <w:tcW w:type="dxa" w:w="2492"/>
          </w:tcPr>
          <w:p>
            <w:pPr>
              <w:pStyle w:val="null3"/>
            </w:pPr>
            <w:r>
              <w:rPr>
                <w:rFonts w:ascii="仿宋_GB2312" w:hAnsi="仿宋_GB2312" w:cs="仿宋_GB2312" w:eastAsia="仿宋_GB2312"/>
              </w:rPr>
              <w:t>一、评审内容 针对项目可能出现的各类突发情况，制定相应的应急处理措施。包含:①产品断供或缺货应急；②农时延误应急措施；③产品质量不合格处置；④产品病虫害携带应急措施；⑤运输与储存应急措施；⑥干旱、洪涝、低温、冻害、倒春寒措施。 二、赋分标准 1、完整性:方案内容完整全面，对上述各项内容均有描述及说明,得3分；缺1项,得2.5分；缺2项,得2分；缺3项,得1.5分；缺4项至5项，得0.5分。 2、针对性：针对性强，得3分；针对性一般，得1分；缺乏针对性，不得分。 3、可实施性:可实施性强，得3分；可实施性一般，得1分；缺乏可实施性,不得分。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拟投入机械设备</w:t>
            </w:r>
          </w:p>
        </w:tc>
        <w:tc>
          <w:tcPr>
            <w:tcW w:type="dxa" w:w="2492"/>
          </w:tcPr>
          <w:p>
            <w:pPr>
              <w:pStyle w:val="null3"/>
            </w:pPr>
            <w:r>
              <w:rPr>
                <w:rFonts w:ascii="仿宋_GB2312" w:hAnsi="仿宋_GB2312" w:cs="仿宋_GB2312" w:eastAsia="仿宋_GB2312"/>
              </w:rPr>
              <w:t>一、评审内容 针对本项目实际情况投入的机械设备情况：包含:①机械设备投入情况；②机械设备保障措施。 二、赋分标准 1、完整性:方案内容完整全面，对上述各项内容均有描述及说明,得2分；缺1项,得1分。 2、针对性：针对性强，得2分；针对性一般，得1分；缺乏针对性，不得分。 3、可实施性:可实施性强，得2分；可实施性一般，得1分；缺乏可实施性,不得分。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根据本项目的服务内容，做出切实可行的服务承诺，确保项目能按时按质完成，达到服务要求且能保证项目质量。包含:①项目能按时按质完成承诺；②产品售后、补种承诺；③病虫害应急处置、技术支持响应承诺；④销售渠道保障承诺；⑤产品成活率保证承诺。 二、赋分标准 1、完整性:方案内容完整全面，对上述各项内容均有描述及说明,得5分；缺1项,得4分；缺2项,得3分；缺3项至4项，得1分。 2、针对性：针对性强，得3分；针对性一般，得1分；缺乏针对性，不得分。 3、可实施性:可实施性强，得3分；可实施性一般，得1分；缺乏可实施性,不得分。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五年(2021年至今)类似项目的业绩(以合同签订之日或中标通知书落款日期为准)，每提供一个类似项目业绩得2分，最高不超过6分。须提供复印清晰的复印件，如因复印等问题造成无法辨识，责任由投标人自负。</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在采购预算内且满足招标文件要求且投标报价最低的投标人的价格为基准价，其价格分为20分。各投标人的价格分统一按照下列公式计算：价格分=（基准价/投标响应报价）*20* 100% 。 注：本项目专门面向中小企业采购，评审时不再进行价格扣除。</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详见附件：供应商认为需要补充的其他内容.pdf</w:t>
      </w:r>
    </w:p>
    <w:p>
      <w:pPr>
        <w:pStyle w:val="null3"/>
        <w:ind w:firstLine="960"/>
      </w:pPr>
      <w:r>
        <w:rPr>
          <w:rFonts w:ascii="仿宋_GB2312" w:hAnsi="仿宋_GB2312" w:cs="仿宋_GB2312" w:eastAsia="仿宋_GB2312"/>
        </w:rPr>
        <w:t>详见附件：投标方案说明书.pdf</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详见附件：投标分项报价表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详见附件：种苗采购种植合同.docx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