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版本号：KCHZZB-2026-001220260411001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2026年镇巴县盐场镇柳家河村经济合作社村企业共建淫羊藿种植项目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KCHZZB-2026-0012</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2026年镇巴县盐场镇柳家河村经济合作社村企业共建淫羊藿种植项目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KCHZZB-2026-0012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2026年镇巴县盐场镇柳家河村经济合作社村企业共建淫羊藿种植项目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该项目位于镇巴县盐场镇境内柳家河村，新建200亩林下淫羊藿种植基地。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采购包1（2026年镇巴县盐场镇柳家河村经济合作社村企业共建淫羊藿种植项目）：属于专门面向中小企业采购。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镇巴县盐场镇人民政府经办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镇巴县盐场镇人民政府</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该项目位于镇巴县盐场镇境内柳家河村，新建200亩林下淫羊藿种植基地。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2026年镇巴县盐场镇柳家河村经济合作社村企业共建淫羊藿种植项目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标的名称：2026年镇巴县盐场镇柳家河村经济合作社村企业共建淫羊藿种植项目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52"/>
              <w:jc w:val="left"/>
            </w:pPr>
            <w:r>
              <w:rPr>
                <w:rFonts w:ascii="仿宋_GB2312" w:hAnsi="仿宋_GB2312" w:cs="仿宋_GB2312" w:eastAsia="仿宋_GB2312"/>
                <w:sz w:val="18"/>
                <w:color w:val="000000"/>
              </w:rPr>
              <w:t>一、工程概况</w:t>
            </w:r>
          </w:p>
          <w:p>
            <w:pPr>
              <w:pStyle w:val="null3"/>
              <w:ind w:firstLine="584"/>
              <w:jc w:val="left"/>
            </w:pPr>
            <w:r>
              <w:rPr>
                <w:rFonts w:ascii="仿宋_GB2312" w:hAnsi="仿宋_GB2312" w:cs="仿宋_GB2312" w:eastAsia="仿宋_GB2312"/>
                <w:sz w:val="18"/>
                <w:color w:val="000000"/>
              </w:rPr>
              <w:t>2026年镇巴县盐场镇柳家河村经济合作社村企业共建淫羊藿种植项目</w:t>
            </w:r>
            <w:r>
              <w:rPr>
                <w:rFonts w:ascii="仿宋_GB2312" w:hAnsi="仿宋_GB2312" w:cs="仿宋_GB2312" w:eastAsia="仿宋_GB2312"/>
                <w:sz w:val="18"/>
                <w:color w:val="000000"/>
              </w:rPr>
              <w:t>，建设单位为镇巴县盐场镇人民政府，该项目位于镇巴县盐场镇</w:t>
            </w:r>
            <w:r>
              <w:rPr>
                <w:rFonts w:ascii="仿宋_GB2312" w:hAnsi="仿宋_GB2312" w:cs="仿宋_GB2312" w:eastAsia="仿宋_GB2312"/>
                <w:sz w:val="18"/>
                <w:color w:val="000000"/>
              </w:rPr>
              <w:t>柳家河</w:t>
            </w:r>
            <w:r>
              <w:rPr>
                <w:rFonts w:ascii="仿宋_GB2312" w:hAnsi="仿宋_GB2312" w:cs="仿宋_GB2312" w:eastAsia="仿宋_GB2312"/>
                <w:sz w:val="18"/>
                <w:color w:val="000000"/>
              </w:rPr>
              <w:t>村，采购内容为：</w:t>
            </w:r>
            <w:r>
              <w:rPr>
                <w:rFonts w:ascii="仿宋_GB2312" w:hAnsi="仿宋_GB2312" w:cs="仿宋_GB2312" w:eastAsia="仿宋_GB2312"/>
                <w:sz w:val="18"/>
                <w:color w:val="000000"/>
              </w:rPr>
              <w:t>新建</w:t>
            </w:r>
            <w:r>
              <w:rPr>
                <w:rFonts w:ascii="仿宋_GB2312" w:hAnsi="仿宋_GB2312" w:cs="仿宋_GB2312" w:eastAsia="仿宋_GB2312"/>
                <w:sz w:val="18"/>
                <w:color w:val="000000"/>
              </w:rPr>
              <w:t>200亩淫羊藿标准化林下</w:t>
            </w:r>
            <w:r>
              <w:rPr>
                <w:rFonts w:ascii="仿宋_GB2312" w:hAnsi="仿宋_GB2312" w:cs="仿宋_GB2312" w:eastAsia="仿宋_GB2312"/>
                <w:sz w:val="18"/>
                <w:color w:val="000000"/>
              </w:rPr>
              <w:t>种植。</w:t>
            </w:r>
          </w:p>
          <w:p>
            <w:pPr>
              <w:pStyle w:val="null3"/>
              <w:ind w:firstLine="592"/>
              <w:jc w:val="left"/>
            </w:pPr>
            <w:r>
              <w:rPr>
                <w:rFonts w:ascii="仿宋_GB2312" w:hAnsi="仿宋_GB2312" w:cs="仿宋_GB2312" w:eastAsia="仿宋_GB2312"/>
                <w:sz w:val="18"/>
                <w:color w:val="000000"/>
              </w:rPr>
              <w:t>二、技术要求</w:t>
            </w:r>
          </w:p>
          <w:p>
            <w:pPr>
              <w:pStyle w:val="null3"/>
              <w:ind w:firstLine="592"/>
              <w:jc w:val="left"/>
            </w:pPr>
            <w:r>
              <w:rPr>
                <w:rFonts w:ascii="仿宋_GB2312" w:hAnsi="仿宋_GB2312" w:cs="仿宋_GB2312" w:eastAsia="仿宋_GB2312"/>
                <w:sz w:val="18"/>
                <w:color w:val="000000"/>
              </w:rPr>
              <w:t>1、种植面积</w:t>
            </w:r>
            <w:r>
              <w:rPr>
                <w:rFonts w:ascii="仿宋_GB2312" w:hAnsi="仿宋_GB2312" w:cs="仿宋_GB2312" w:eastAsia="仿宋_GB2312"/>
                <w:sz w:val="18"/>
                <w:color w:val="000000"/>
              </w:rPr>
              <w:t>：</w:t>
            </w:r>
            <w:r>
              <w:rPr>
                <w:rFonts w:ascii="仿宋_GB2312" w:hAnsi="仿宋_GB2312" w:cs="仿宋_GB2312" w:eastAsia="仿宋_GB2312"/>
                <w:sz w:val="18"/>
                <w:color w:val="000000"/>
              </w:rPr>
              <w:t>200亩</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2、种植数量：≥60万株</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3、苗高：&gt;10cm</w:t>
            </w:r>
            <w:r>
              <w:rPr>
                <w:rFonts w:ascii="仿宋_GB2312" w:hAnsi="仿宋_GB2312" w:cs="仿宋_GB2312" w:eastAsia="仿宋_GB2312"/>
                <w:sz w:val="18"/>
                <w:color w:val="000000"/>
              </w:rPr>
              <w:t>，</w:t>
            </w:r>
            <w:r>
              <w:rPr>
                <w:rFonts w:ascii="仿宋_GB2312" w:hAnsi="仿宋_GB2312" w:cs="仿宋_GB2312" w:eastAsia="仿宋_GB2312"/>
                <w:sz w:val="18"/>
                <w:color w:val="000000"/>
              </w:rPr>
              <w:t>1年生巫山淫羊藿种苗</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4、平均根长：&gt;5cm</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5、芽苞：≥2个</w:t>
            </w:r>
            <w:r>
              <w:rPr>
                <w:rFonts w:ascii="仿宋_GB2312" w:hAnsi="仿宋_GB2312" w:cs="仿宋_GB2312" w:eastAsia="仿宋_GB2312"/>
                <w:sz w:val="18"/>
                <w:color w:val="000000"/>
              </w:rPr>
              <w:t>；</w:t>
            </w:r>
          </w:p>
          <w:p>
            <w:pPr>
              <w:pStyle w:val="null3"/>
              <w:ind w:firstLine="592"/>
              <w:jc w:val="left"/>
            </w:pPr>
            <w:r>
              <w:rPr>
                <w:rFonts w:ascii="仿宋_GB2312" w:hAnsi="仿宋_GB2312" w:cs="仿宋_GB2312" w:eastAsia="仿宋_GB2312"/>
                <w:sz w:val="18"/>
                <w:color w:val="000000"/>
              </w:rPr>
              <w:t>6、综合控制指标：无损伤、无病虫害</w:t>
            </w:r>
            <w:r>
              <w:rPr>
                <w:rFonts w:ascii="仿宋_GB2312" w:hAnsi="仿宋_GB2312" w:cs="仿宋_GB2312" w:eastAsia="仿宋_GB2312"/>
                <w:sz w:val="18"/>
                <w:color w:val="000000"/>
              </w:rPr>
              <w:t>；</w:t>
            </w:r>
          </w:p>
          <w:p>
            <w:pPr>
              <w:pStyle w:val="null3"/>
              <w:ind w:firstLine="600"/>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淫羊藿苷、朝藿定</w:t>
            </w:r>
            <w:r>
              <w:rPr>
                <w:rFonts w:ascii="仿宋_GB2312" w:hAnsi="仿宋_GB2312" w:cs="仿宋_GB2312" w:eastAsia="仿宋_GB2312"/>
                <w:sz w:val="18"/>
                <w:color w:val="000000"/>
              </w:rPr>
              <w:t>A、朝藿定B、朝藿定C、淫</w:t>
            </w:r>
            <w:r>
              <w:rPr>
                <w:rFonts w:ascii="仿宋_GB2312" w:hAnsi="仿宋_GB2312" w:cs="仿宋_GB2312" w:eastAsia="仿宋_GB2312"/>
                <w:sz w:val="18"/>
                <w:color w:val="000000"/>
              </w:rPr>
              <w:t>羊藿单苷不低于</w:t>
            </w:r>
            <w:r>
              <w:rPr>
                <w:rFonts w:ascii="仿宋_GB2312" w:hAnsi="仿宋_GB2312" w:cs="仿宋_GB2312" w:eastAsia="仿宋_GB2312"/>
                <w:sz w:val="18"/>
                <w:color w:val="000000"/>
              </w:rPr>
              <w:t>2.0%。</w:t>
            </w:r>
          </w:p>
          <w:p>
            <w:pPr>
              <w:pStyle w:val="null3"/>
              <w:ind w:firstLine="556"/>
              <w:jc w:val="left"/>
            </w:pPr>
            <w:r>
              <w:rPr>
                <w:rFonts w:ascii="仿宋_GB2312" w:hAnsi="仿宋_GB2312" w:cs="仿宋_GB2312" w:eastAsia="仿宋_GB2312"/>
                <w:sz w:val="18"/>
                <w:color w:val="000000"/>
              </w:rPr>
              <w:t>五、主要技术措施</w:t>
            </w:r>
          </w:p>
          <w:p>
            <w:pPr>
              <w:pStyle w:val="null3"/>
              <w:ind w:firstLine="584"/>
              <w:jc w:val="left"/>
            </w:pPr>
            <w:r>
              <w:rPr>
                <w:rFonts w:ascii="仿宋_GB2312" w:hAnsi="仿宋_GB2312" w:cs="仿宋_GB2312" w:eastAsia="仿宋_GB2312"/>
                <w:sz w:val="18"/>
                <w:color w:val="000000"/>
              </w:rPr>
              <w:t>1、清林整地、起垄、开沟。将栽植带或栽植穴的杂草、灌木、等清理干净，整平耙</w:t>
            </w:r>
            <w:r>
              <w:rPr>
                <w:rFonts w:ascii="仿宋_GB2312" w:hAnsi="仿宋_GB2312" w:cs="仿宋_GB2312" w:eastAsia="仿宋_GB2312"/>
                <w:sz w:val="18"/>
                <w:color w:val="000000"/>
              </w:rPr>
              <w:t>细；起垄整地根据实际地形开沟、起垄；起垄宽度</w:t>
            </w:r>
            <w:r>
              <w:rPr>
                <w:rFonts w:ascii="仿宋_GB2312" w:hAnsi="仿宋_GB2312" w:cs="仿宋_GB2312" w:eastAsia="仿宋_GB2312"/>
                <w:sz w:val="18"/>
                <w:color w:val="000000"/>
              </w:rPr>
              <w:t>40-120</w:t>
            </w:r>
            <w:r>
              <w:rPr>
                <w:rFonts w:ascii="仿宋_GB2312" w:hAnsi="仿宋_GB2312" w:cs="仿宋_GB2312" w:eastAsia="仿宋_GB2312"/>
                <w:sz w:val="18"/>
                <w:color w:val="000000"/>
              </w:rPr>
              <w:t>cm</w:t>
            </w:r>
            <w:r>
              <w:rPr>
                <w:rFonts w:ascii="仿宋_GB2312" w:hAnsi="仿宋_GB2312" w:cs="仿宋_GB2312" w:eastAsia="仿宋_GB2312"/>
                <w:sz w:val="18"/>
                <w:color w:val="000000"/>
              </w:rPr>
              <w:t>,床面平整，拱</w:t>
            </w:r>
            <w:r>
              <w:rPr>
                <w:rFonts w:ascii="仿宋_GB2312" w:hAnsi="仿宋_GB2312" w:cs="仿宋_GB2312" w:eastAsia="仿宋_GB2312"/>
                <w:sz w:val="18"/>
                <w:color w:val="000000"/>
              </w:rPr>
              <w:t>形为佳，垄</w:t>
            </w:r>
            <w:r>
              <w:rPr>
                <w:rFonts w:ascii="仿宋_GB2312" w:hAnsi="仿宋_GB2312" w:cs="仿宋_GB2312" w:eastAsia="仿宋_GB2312"/>
                <w:sz w:val="18"/>
                <w:color w:val="000000"/>
              </w:rPr>
              <w:t>间开沟，开沟深度不少于</w:t>
            </w:r>
            <w:r>
              <w:rPr>
                <w:rFonts w:ascii="仿宋_GB2312" w:hAnsi="仿宋_GB2312" w:cs="仿宋_GB2312" w:eastAsia="仿宋_GB2312"/>
                <w:sz w:val="18"/>
                <w:color w:val="000000"/>
              </w:rPr>
              <w:t>15cm、沟宽不小于30cm。</w:t>
            </w:r>
          </w:p>
          <w:p>
            <w:pPr>
              <w:pStyle w:val="null3"/>
              <w:ind w:firstLine="596"/>
              <w:jc w:val="left"/>
            </w:pPr>
            <w:r>
              <w:rPr>
                <w:rFonts w:ascii="仿宋_GB2312" w:hAnsi="仿宋_GB2312" w:cs="仿宋_GB2312" w:eastAsia="仿宋_GB2312"/>
                <w:sz w:val="18"/>
                <w:color w:val="000000"/>
              </w:rPr>
              <w:t>2、苗木。高度大于10厘米以上的1年生种</w:t>
            </w:r>
            <w:r>
              <w:rPr>
                <w:rFonts w:ascii="仿宋_GB2312" w:hAnsi="仿宋_GB2312" w:cs="仿宋_GB2312" w:eastAsia="仿宋_GB2312"/>
                <w:sz w:val="18"/>
                <w:color w:val="000000"/>
              </w:rPr>
              <w:t>苗。交货时县外幼苗需提供苗木检疫证、合格证及产地标签，本地幼苗提供产地检疫。</w:t>
            </w:r>
          </w:p>
          <w:p>
            <w:pPr>
              <w:pStyle w:val="null3"/>
              <w:ind w:firstLine="588"/>
              <w:jc w:val="left"/>
            </w:pPr>
            <w:r>
              <w:rPr>
                <w:rFonts w:ascii="仿宋_GB2312" w:hAnsi="仿宋_GB2312" w:cs="仿宋_GB2312" w:eastAsia="仿宋_GB2312"/>
                <w:sz w:val="18"/>
                <w:color w:val="000000"/>
              </w:rPr>
              <w:t>3、幼苗栽植。按行距30</w:t>
            </w:r>
            <w:r>
              <w:rPr>
                <w:rFonts w:ascii="仿宋_GB2312" w:hAnsi="仿宋_GB2312" w:cs="仿宋_GB2312" w:eastAsia="仿宋_GB2312"/>
                <w:sz w:val="18"/>
                <w:color w:val="000000"/>
              </w:rPr>
              <w:t>cm</w:t>
            </w:r>
            <w:r>
              <w:rPr>
                <w:rFonts w:ascii="仿宋_GB2312" w:hAnsi="仿宋_GB2312" w:cs="仿宋_GB2312" w:eastAsia="仿宋_GB2312"/>
                <w:sz w:val="18"/>
                <w:color w:val="000000"/>
              </w:rPr>
              <w:t>*50</w:t>
            </w:r>
            <w:r>
              <w:rPr>
                <w:rFonts w:ascii="仿宋_GB2312" w:hAnsi="仿宋_GB2312" w:cs="仿宋_GB2312" w:eastAsia="仿宋_GB2312"/>
                <w:sz w:val="18"/>
                <w:color w:val="000000"/>
              </w:rPr>
              <w:t>cm</w:t>
            </w:r>
            <w:r>
              <w:rPr>
                <w:rFonts w:ascii="仿宋_GB2312" w:hAnsi="仿宋_GB2312" w:cs="仿宋_GB2312" w:eastAsia="仿宋_GB2312"/>
                <w:sz w:val="18"/>
                <w:color w:val="000000"/>
              </w:rPr>
              <w:t>横向开沟，每亩栽植不低于</w:t>
            </w:r>
            <w:r>
              <w:rPr>
                <w:rFonts w:ascii="仿宋_GB2312" w:hAnsi="仿宋_GB2312" w:cs="仿宋_GB2312" w:eastAsia="仿宋_GB2312"/>
                <w:sz w:val="18"/>
                <w:color w:val="000000"/>
              </w:rPr>
              <w:t>3000株，苗正，须根舒</w:t>
            </w:r>
            <w:r>
              <w:rPr>
                <w:rFonts w:ascii="仿宋_GB2312" w:hAnsi="仿宋_GB2312" w:cs="仿宋_GB2312" w:eastAsia="仿宋_GB2312"/>
                <w:sz w:val="18"/>
                <w:color w:val="000000"/>
              </w:rPr>
              <w:t>展，覆土厚度</w:t>
            </w:r>
            <w:r>
              <w:rPr>
                <w:rFonts w:ascii="仿宋_GB2312" w:hAnsi="仿宋_GB2312" w:cs="仿宋_GB2312" w:eastAsia="仿宋_GB2312"/>
                <w:sz w:val="18"/>
                <w:color w:val="000000"/>
              </w:rPr>
              <w:t>8</w:t>
            </w:r>
            <w:r>
              <w:rPr>
                <w:rFonts w:ascii="仿宋_GB2312" w:hAnsi="仿宋_GB2312" w:cs="仿宋_GB2312" w:eastAsia="仿宋_GB2312"/>
                <w:sz w:val="18"/>
                <w:color w:val="000000"/>
              </w:rPr>
              <w:t>cm</w:t>
            </w:r>
            <w:r>
              <w:rPr>
                <w:rFonts w:ascii="仿宋_GB2312" w:hAnsi="仿宋_GB2312" w:cs="仿宋_GB2312" w:eastAsia="仿宋_GB2312"/>
                <w:sz w:val="18"/>
                <w:color w:val="000000"/>
              </w:rPr>
              <w:t>。待次年春季种苗成活后，及时拔除死苗</w:t>
            </w:r>
            <w:r>
              <w:rPr>
                <w:rFonts w:ascii="仿宋_GB2312" w:hAnsi="仿宋_GB2312" w:cs="仿宋_GB2312" w:eastAsia="仿宋_GB2312"/>
                <w:sz w:val="18"/>
                <w:color w:val="000000"/>
              </w:rPr>
              <w:t>、弱苗、病苗，并采用实生苗</w:t>
            </w:r>
            <w:r>
              <w:rPr>
                <w:rFonts w:ascii="仿宋_GB2312" w:hAnsi="仿宋_GB2312" w:cs="仿宋_GB2312" w:eastAsia="仿宋_GB2312"/>
                <w:sz w:val="18"/>
                <w:color w:val="000000"/>
              </w:rPr>
              <w:t>或分株苗进行补植，确保每亩保存</w:t>
            </w:r>
            <w:r>
              <w:rPr>
                <w:rFonts w:ascii="仿宋_GB2312" w:hAnsi="仿宋_GB2312" w:cs="仿宋_GB2312" w:eastAsia="仿宋_GB2312"/>
                <w:sz w:val="18"/>
                <w:color w:val="000000"/>
              </w:rPr>
              <w:t>2850株及以上。</w:t>
            </w:r>
          </w:p>
          <w:p>
            <w:pPr>
              <w:pStyle w:val="null3"/>
              <w:ind w:firstLine="584"/>
              <w:jc w:val="left"/>
            </w:pPr>
            <w:r>
              <w:rPr>
                <w:rFonts w:ascii="仿宋_GB2312" w:hAnsi="仿宋_GB2312" w:cs="仿宋_GB2312" w:eastAsia="仿宋_GB2312"/>
                <w:sz w:val="18"/>
                <w:color w:val="000000"/>
              </w:rPr>
              <w:t>4、浇水施肥。栽植要求使用生根粉浸泡5-10分钟幼苗根系，灌足定根水，土壤干旱</w:t>
            </w:r>
            <w:r>
              <w:rPr>
                <w:rFonts w:ascii="仿宋_GB2312" w:hAnsi="仿宋_GB2312" w:cs="仿宋_GB2312" w:eastAsia="仿宋_GB2312"/>
                <w:sz w:val="18"/>
                <w:color w:val="000000"/>
              </w:rPr>
              <w:t>时，宜于早晚浇水灌溉；土壤积水时，及时进行排涝。</w:t>
            </w:r>
          </w:p>
          <w:p>
            <w:pPr>
              <w:pStyle w:val="null3"/>
              <w:ind w:firstLine="576"/>
              <w:jc w:val="left"/>
            </w:pPr>
            <w:r>
              <w:rPr>
                <w:rFonts w:ascii="仿宋_GB2312" w:hAnsi="仿宋_GB2312" w:cs="仿宋_GB2312" w:eastAsia="仿宋_GB2312"/>
                <w:sz w:val="18"/>
                <w:color w:val="000000"/>
              </w:rPr>
              <w:t>5、病虫害防治</w:t>
            </w:r>
          </w:p>
          <w:p>
            <w:pPr>
              <w:pStyle w:val="null3"/>
              <w:ind w:firstLine="584"/>
              <w:jc w:val="left"/>
            </w:pPr>
            <w:r>
              <w:rPr>
                <w:rFonts w:ascii="仿宋_GB2312" w:hAnsi="仿宋_GB2312" w:cs="仿宋_GB2312" w:eastAsia="仿宋_GB2312"/>
                <w:sz w:val="18"/>
                <w:color w:val="000000"/>
              </w:rPr>
              <w:t>详见下表，农药使用参照《农药合理使用准则</w:t>
            </w:r>
            <w:r>
              <w:rPr>
                <w:rFonts w:ascii="仿宋_GB2312" w:hAnsi="仿宋_GB2312" w:cs="仿宋_GB2312" w:eastAsia="仿宋_GB2312"/>
                <w:sz w:val="18"/>
                <w:color w:val="000000"/>
              </w:rPr>
              <w:t>（</w:t>
            </w:r>
            <w:r>
              <w:rPr>
                <w:rFonts w:ascii="仿宋_GB2312" w:hAnsi="仿宋_GB2312" w:cs="仿宋_GB2312" w:eastAsia="仿宋_GB2312"/>
                <w:sz w:val="18"/>
                <w:color w:val="000000"/>
              </w:rPr>
              <w:t>七</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GB</w:t>
            </w:r>
            <w:r>
              <w:rPr>
                <w:rFonts w:ascii="仿宋_GB2312" w:hAnsi="仿宋_GB2312" w:cs="仿宋_GB2312" w:eastAsia="仿宋_GB2312"/>
                <w:sz w:val="18"/>
                <w:color w:val="000000"/>
              </w:rPr>
              <w:t>/T8321.7-2002</w:t>
            </w:r>
            <w:r>
              <w:rPr>
                <w:rFonts w:ascii="仿宋_GB2312" w:hAnsi="仿宋_GB2312" w:cs="仿宋_GB2312" w:eastAsia="仿宋_GB2312"/>
                <w:sz w:val="18"/>
                <w:color w:val="000000"/>
              </w:rPr>
              <w:t>）</w:t>
            </w:r>
            <w:r>
              <w:rPr>
                <w:rFonts w:ascii="仿宋_GB2312" w:hAnsi="仿宋_GB2312" w:cs="仿宋_GB2312" w:eastAsia="仿宋_GB2312"/>
                <w:sz w:val="18"/>
                <w:color w:val="000000"/>
              </w:rPr>
              <w:t>相关规定</w:t>
            </w:r>
            <w:r>
              <w:rPr>
                <w:rFonts w:ascii="仿宋_GB2312" w:hAnsi="仿宋_GB2312" w:cs="仿宋_GB2312" w:eastAsia="仿宋_GB2312"/>
                <w:sz w:val="18"/>
                <w:color w:val="000000"/>
              </w:rPr>
              <w:t>执行。</w:t>
            </w:r>
          </w:p>
          <w:p>
            <w:pPr>
              <w:pStyle w:val="null3"/>
              <w:jc w:val="center"/>
            </w:pPr>
            <w:r>
              <w:rPr>
                <w:rFonts w:ascii="仿宋_GB2312" w:hAnsi="仿宋_GB2312" w:cs="仿宋_GB2312" w:eastAsia="仿宋_GB2312"/>
                <w:sz w:val="18"/>
                <w:b/>
                <w:color w:val="000000"/>
              </w:rPr>
              <w:t>淫羊藿主要病虫害种类及防治</w:t>
            </w:r>
          </w:p>
          <w:p>
            <w:pPr>
              <w:pStyle w:val="null3"/>
              <w:spacing w:before="180"/>
              <w:ind w:firstLine="532"/>
              <w:jc w:val="left"/>
            </w:pPr>
            <w:r>
              <w:rPr>
                <w:rFonts w:ascii="仿宋_GB2312" w:hAnsi="仿宋_GB2312" w:cs="仿宋_GB2312" w:eastAsia="仿宋_GB2312"/>
                <w:sz w:val="18"/>
                <w:color w:val="000000"/>
              </w:rPr>
              <w:t>表</w:t>
            </w:r>
            <w:r>
              <w:rPr>
                <w:rFonts w:ascii="仿宋_GB2312" w:hAnsi="仿宋_GB2312" w:cs="仿宋_GB2312" w:eastAsia="仿宋_GB2312"/>
                <w:sz w:val="18"/>
                <w:color w:val="000000"/>
              </w:rPr>
              <w:t>1-1</w:t>
            </w:r>
          </w:p>
          <w:tbl>
            <w:tblPr>
              <w:tblBorders>
                <w:top w:val="none" w:color="000000" w:sz="4"/>
                <w:left w:val="none" w:color="000000" w:sz="4"/>
                <w:bottom w:val="none" w:color="000000" w:sz="4"/>
                <w:right w:val="none" w:color="000000" w:sz="4"/>
                <w:insideH w:val="none"/>
                <w:insideV w:val="none"/>
              </w:tblBorders>
            </w:tblPr>
            <w:tblGrid>
              <w:gridCol w:w="355"/>
              <w:gridCol w:w="906"/>
              <w:gridCol w:w="1292"/>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病虫害种类</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主要症状</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b/>
                      <w:color w:val="000000"/>
                    </w:rPr>
                    <w:t>防治方法</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叶褐斑枯病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初期为褐色斑点，周围有黄色晕圈。扩展后病斑呈不规则状，边缘红褐色至褐色，中部呈灰褐色：后期病斑灰褐色，收缩，出现黑色粒状物，此为病菌的分生孢子器。病菌在苗期和成株期均有发生，以幼苗期发生较多且危害重。</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及时清除病残体并销毁，减少浸染源。</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发病初期可喷雾施药防治，常用药剂有</w:t>
                  </w:r>
                  <w:r>
                    <w:rPr>
                      <w:rFonts w:ascii="仿宋_GB2312" w:hAnsi="仿宋_GB2312" w:cs="仿宋_GB2312" w:eastAsia="仿宋_GB2312"/>
                      <w:sz w:val="18"/>
                      <w:color w:val="000000"/>
                    </w:rPr>
                    <w:t>50%代森锌可湿性粉剂600倍，50%退菌特可湿性粉剂800倍液，1:1:160波尔多液，30%氧氯化铜600-800倍液，50%多菌灵可湿性粉剂500-600倍液，70%甲基托布津可湿性粉剂800-1000倍液，防治次数视发生情况而定。</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皱缩病毒病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染病叶叶组织皱缩，不平，增厚，畸形呈反卷状。成苗期，田间常有</w:t>
                  </w:r>
                  <w:r>
                    <w:rPr>
                      <w:rFonts w:ascii="仿宋_GB2312" w:hAnsi="仿宋_GB2312" w:cs="仿宋_GB2312" w:eastAsia="仿宋_GB2312"/>
                      <w:sz w:val="18"/>
                      <w:color w:val="000000"/>
                    </w:rPr>
                    <w:t>2种症状：花叶斑驳状，病叶扭曲畸变皱缩不平增厚呈浓淡绿色不均匀的斑驳花叶状；黄色斑驳花叶状，染病叶组织退绿呈黄色花叶斑状。</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选用无病毒病的种苗留种。</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在续断生长期，及时灭杀传毒虫媒。</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发病症状出现时，可选用磷酸二氢钾或</w:t>
                  </w:r>
                  <w:r>
                    <w:rPr>
                      <w:rFonts w:ascii="仿宋_GB2312" w:hAnsi="仿宋_GB2312" w:cs="仿宋_GB2312" w:eastAsia="仿宋_GB2312"/>
                      <w:sz w:val="18"/>
                      <w:color w:val="000000"/>
                    </w:rPr>
                    <w:t>20%毒克星可湿性粉剂500倍液，或0.5%抗毒剂1号水剂250-300倍液，或20%病毒宁水溶性粉剂500倍液等喷洒防治，隔7d1次，连用3次。促叶片转绿、舒展，减轻危害。采收前20d停止用药。</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锈病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初期叶片上出现不明显的小点，后期叶背面变成橙黄色微突起的小疮斑，即为夏孢子堆。病斑破裂后散发锈黄色的夏孢子，严重时叶片枯死，患病果实出现橙黄色微突起的小疮斑，严重时患病果实成僵果。</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发病期初期用</w:t>
                  </w:r>
                  <w:r>
                    <w:rPr>
                      <w:rFonts w:ascii="仿宋_GB2312" w:hAnsi="仿宋_GB2312" w:cs="仿宋_GB2312" w:eastAsia="仿宋_GB2312"/>
                      <w:sz w:val="18"/>
                      <w:color w:val="000000"/>
                    </w:rPr>
                    <w:t>20%爱可悬浮剂1000-1500倍喷雾，用药量30g/亩-40g/亩。</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发病期可选用</w:t>
                  </w:r>
                  <w:r>
                    <w:rPr>
                      <w:rFonts w:ascii="仿宋_GB2312" w:hAnsi="仿宋_GB2312" w:cs="仿宋_GB2312" w:eastAsia="仿宋_GB2312"/>
                      <w:sz w:val="18"/>
                      <w:color w:val="000000"/>
                    </w:rPr>
                    <w:t>15%粉锈宁可湿性粉剂1000-1500倍液，用药量40g/亩-45g/亩。喷洒防治，隔7d1次，连用3次。促叶片转绿、舒展，减轻危害。采收前20d停止用药。</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白粉病</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发病初期，叶片正面或背面产生白色近圆形的小粉斑，逐渐扩大成边缘不明显的大片白粉区，布满叶面，好像撒了层白粉。抹去白粉，可见叶面褪绿，枯黄变脆。发病严重时，叶面布满白粉，变成灰白色，直至整个叶片枯死。发病后无臭味，白粉是其明显病征。</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清洁种植区，加强管理。</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发病期，可选用</w:t>
                  </w:r>
                  <w:r>
                    <w:rPr>
                      <w:rFonts w:ascii="仿宋_GB2312" w:hAnsi="仿宋_GB2312" w:cs="仿宋_GB2312" w:eastAsia="仿宋_GB2312"/>
                      <w:sz w:val="18"/>
                      <w:color w:val="000000"/>
                    </w:rPr>
                    <w:t>50%多菌灵500倍液或75%甲基硫菌灵1000倍液喷雾。病害盛发时，可喷15%粉锈宁1000倍液等药剂防治。</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18"/>
                      <w:color w:val="000000"/>
                    </w:rPr>
                    <w:t>蚜虫</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18"/>
                      <w:color w:val="000000"/>
                    </w:rPr>
                    <w:t>被害部位卷曲、皱缩、畸形，生长率降低、叶斑、泛黄、发育不良、卷叶、产量降低、枯萎以及死亡等。</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25%噻虫嗪3g/亩-4g/亩，兑水30kg—50kg喷雾，防治次数视发生情况而定，施药间隔7d—10d。</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10%吡虫咻20g亩-30g亩，兑水30kg—50kg喷雾，防治次数视发生情况而定，施药间隔7d—10d。</w:t>
                  </w:r>
                </w:p>
              </w:tc>
            </w:tr>
          </w:tbl>
          <w:p>
            <w:pPr>
              <w:pStyle w:val="null3"/>
              <w:spacing w:before="75"/>
              <w:ind w:left="1005"/>
              <w:jc w:val="left"/>
            </w:pPr>
            <w:r>
              <w:rPr>
                <w:rFonts w:ascii="仿宋_GB2312" w:hAnsi="仿宋_GB2312" w:cs="仿宋_GB2312" w:eastAsia="仿宋_GB2312"/>
                <w:sz w:val="18"/>
                <w:b/>
                <w:color w:val="000000"/>
              </w:rPr>
              <w:t>三、服务要求</w:t>
            </w:r>
          </w:p>
          <w:p>
            <w:pPr>
              <w:pStyle w:val="null3"/>
              <w:ind w:firstLine="586"/>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服务期限：</w:t>
            </w:r>
            <w:r>
              <w:rPr>
                <w:rFonts w:ascii="仿宋_GB2312" w:hAnsi="仿宋_GB2312" w:cs="仿宋_GB2312" w:eastAsia="仿宋_GB2312"/>
                <w:sz w:val="18"/>
                <w:color w:val="000000"/>
              </w:rPr>
              <w:t>202</w:t>
            </w:r>
            <w:r>
              <w:rPr>
                <w:rFonts w:ascii="仿宋_GB2312" w:hAnsi="仿宋_GB2312" w:cs="仿宋_GB2312" w:eastAsia="仿宋_GB2312"/>
                <w:sz w:val="18"/>
                <w:color w:val="000000"/>
              </w:rPr>
              <w:t>6</w:t>
            </w:r>
            <w:r>
              <w:rPr>
                <w:rFonts w:ascii="仿宋_GB2312" w:hAnsi="仿宋_GB2312" w:cs="仿宋_GB2312" w:eastAsia="仿宋_GB2312"/>
                <w:sz w:val="18"/>
                <w:color w:val="000000"/>
              </w:rPr>
              <w:t>年</w:t>
            </w: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月底之前完工。</w:t>
            </w:r>
          </w:p>
          <w:p>
            <w:pPr>
              <w:pStyle w:val="null3"/>
              <w:ind w:firstLine="596"/>
              <w:jc w:val="left"/>
            </w:pPr>
            <w:r>
              <w:rPr>
                <w:rFonts w:ascii="仿宋_GB2312" w:hAnsi="仿宋_GB2312" w:cs="仿宋_GB2312" w:eastAsia="仿宋_GB2312"/>
                <w:sz w:val="18"/>
                <w:color w:val="000000"/>
              </w:rPr>
              <w:t>（二）</w:t>
            </w:r>
            <w:r>
              <w:rPr>
                <w:rFonts w:ascii="仿宋_GB2312" w:hAnsi="仿宋_GB2312" w:cs="仿宋_GB2312" w:eastAsia="仿宋_GB2312"/>
                <w:sz w:val="18"/>
                <w:color w:val="000000"/>
              </w:rPr>
              <w:t>质量要求：合格。</w:t>
            </w:r>
          </w:p>
          <w:p>
            <w:pPr>
              <w:pStyle w:val="null3"/>
              <w:ind w:left="540"/>
              <w:jc w:val="left"/>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服务地点：镇巴县盐场镇</w:t>
            </w:r>
            <w:r>
              <w:rPr>
                <w:rFonts w:ascii="仿宋_GB2312" w:hAnsi="仿宋_GB2312" w:cs="仿宋_GB2312" w:eastAsia="仿宋_GB2312"/>
                <w:sz w:val="18"/>
                <w:color w:val="000000"/>
              </w:rPr>
              <w:t>柳家河</w:t>
            </w:r>
            <w:r>
              <w:rPr>
                <w:rFonts w:ascii="仿宋_GB2312" w:hAnsi="仿宋_GB2312" w:cs="仿宋_GB2312" w:eastAsia="仿宋_GB2312"/>
                <w:sz w:val="18"/>
                <w:color w:val="000000"/>
              </w:rPr>
              <w:t>村。</w:t>
            </w:r>
          </w:p>
          <w:p>
            <w:pPr>
              <w:pStyle w:val="null3"/>
              <w:ind w:left="540"/>
              <w:jc w:val="left"/>
            </w:pPr>
            <w:r>
              <w:rPr>
                <w:rFonts w:ascii="仿宋_GB2312" w:hAnsi="仿宋_GB2312" w:cs="仿宋_GB2312" w:eastAsia="仿宋_GB2312"/>
                <w:sz w:val="18"/>
                <w:color w:val="000000"/>
              </w:rPr>
              <w:t>（四）</w:t>
            </w:r>
            <w:r>
              <w:rPr>
                <w:rFonts w:ascii="仿宋_GB2312" w:hAnsi="仿宋_GB2312" w:cs="仿宋_GB2312" w:eastAsia="仿宋_GB2312"/>
                <w:sz w:val="18"/>
                <w:color w:val="000000"/>
              </w:rPr>
              <w:t>支付方式：分期付款</w:t>
            </w:r>
          </w:p>
          <w:p>
            <w:pPr>
              <w:pStyle w:val="null3"/>
              <w:ind w:left="540"/>
              <w:jc w:val="left"/>
            </w:pPr>
            <w:r>
              <w:rPr>
                <w:rFonts w:ascii="仿宋_GB2312" w:hAnsi="仿宋_GB2312" w:cs="仿宋_GB2312" w:eastAsia="仿宋_GB2312"/>
                <w:sz w:val="18"/>
                <w:color w:val="000000"/>
              </w:rPr>
              <w:t>（五）</w:t>
            </w:r>
            <w:r>
              <w:rPr>
                <w:rFonts w:ascii="仿宋_GB2312" w:hAnsi="仿宋_GB2312" w:cs="仿宋_GB2312" w:eastAsia="仿宋_GB2312"/>
                <w:sz w:val="18"/>
                <w:color w:val="000000"/>
              </w:rPr>
              <w:t>付款进度安排：</w:t>
            </w:r>
          </w:p>
          <w:p>
            <w:pPr>
              <w:pStyle w:val="null3"/>
              <w:ind w:firstLine="572"/>
              <w:jc w:val="left"/>
            </w:pPr>
            <w:r>
              <w:rPr>
                <w:rFonts w:ascii="仿宋_GB2312" w:hAnsi="仿宋_GB2312" w:cs="仿宋_GB2312" w:eastAsia="仿宋_GB2312"/>
                <w:sz w:val="18"/>
                <w:color w:val="000000"/>
              </w:rPr>
              <w:t>1、合同签订生效后，清林整地、施基肥、起垄、开沟，形成苗床，具备栽植幼苗条件并验收合格后，支付合同总金额的</w:t>
            </w:r>
            <w:r>
              <w:rPr>
                <w:rFonts w:ascii="仿宋_GB2312" w:hAnsi="仿宋_GB2312" w:cs="仿宋_GB2312" w:eastAsia="仿宋_GB2312"/>
                <w:sz w:val="18"/>
                <w:color w:val="000000"/>
              </w:rPr>
              <w:t>3</w:t>
            </w:r>
            <w:r>
              <w:rPr>
                <w:rFonts w:ascii="仿宋_GB2312" w:hAnsi="仿宋_GB2312" w:cs="仿宋_GB2312" w:eastAsia="仿宋_GB2312"/>
                <w:sz w:val="18"/>
                <w:color w:val="000000"/>
              </w:rPr>
              <w:t>0.00%。</w:t>
            </w:r>
          </w:p>
          <w:p>
            <w:pPr>
              <w:pStyle w:val="null3"/>
              <w:ind w:firstLine="600"/>
              <w:jc w:val="left"/>
            </w:pPr>
            <w:r>
              <w:rPr>
                <w:rFonts w:ascii="仿宋_GB2312" w:hAnsi="仿宋_GB2312" w:cs="仿宋_GB2312" w:eastAsia="仿宋_GB2312"/>
                <w:sz w:val="18"/>
                <w:color w:val="000000"/>
              </w:rPr>
              <w:t>2、项目实施中，根据甲方要求完成指定数额</w:t>
            </w:r>
            <w:r>
              <w:rPr>
                <w:rFonts w:ascii="仿宋_GB2312" w:hAnsi="仿宋_GB2312" w:cs="仿宋_GB2312" w:eastAsia="仿宋_GB2312"/>
                <w:sz w:val="18"/>
                <w:color w:val="000000"/>
              </w:rPr>
              <w:t>幼苗数量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面积和株数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栽植，完成水</w:t>
            </w:r>
            <w:r>
              <w:rPr>
                <w:rFonts w:ascii="仿宋_GB2312" w:hAnsi="仿宋_GB2312" w:cs="仿宋_GB2312" w:eastAsia="仿宋_GB2312"/>
                <w:sz w:val="18"/>
                <w:color w:val="000000"/>
              </w:rPr>
              <w:t>肥管理并验收合格后，分批支付至合同总金额</w:t>
            </w:r>
            <w:r>
              <w:rPr>
                <w:rFonts w:ascii="仿宋_GB2312" w:hAnsi="仿宋_GB2312" w:cs="仿宋_GB2312" w:eastAsia="仿宋_GB2312"/>
                <w:sz w:val="18"/>
                <w:color w:val="000000"/>
              </w:rPr>
              <w:t>5</w:t>
            </w:r>
            <w:r>
              <w:rPr>
                <w:rFonts w:ascii="仿宋_GB2312" w:hAnsi="仿宋_GB2312" w:cs="仿宋_GB2312" w:eastAsia="仿宋_GB2312"/>
                <w:sz w:val="18"/>
                <w:color w:val="000000"/>
              </w:rPr>
              <w:t>0.00%。</w:t>
            </w:r>
          </w:p>
          <w:p>
            <w:pPr>
              <w:pStyle w:val="null3"/>
              <w:ind w:firstLine="576"/>
              <w:jc w:val="left"/>
            </w:pPr>
            <w:r>
              <w:rPr>
                <w:rFonts w:ascii="仿宋_GB2312" w:hAnsi="仿宋_GB2312" w:cs="仿宋_GB2312" w:eastAsia="仿宋_GB2312"/>
                <w:sz w:val="18"/>
                <w:color w:val="000000"/>
              </w:rPr>
              <w:t>3、项目实施后，完成栽植施肥和除草后，</w:t>
            </w:r>
            <w:r>
              <w:rPr>
                <w:rFonts w:ascii="仿宋_GB2312" w:hAnsi="仿宋_GB2312" w:cs="仿宋_GB2312" w:eastAsia="仿宋_GB2312"/>
                <w:sz w:val="18"/>
                <w:color w:val="000000"/>
              </w:rPr>
              <w:t>通过竣工验收总要求，支付合同总金额的</w:t>
            </w:r>
            <w:r>
              <w:rPr>
                <w:rFonts w:ascii="仿宋_GB2312" w:hAnsi="仿宋_GB2312" w:cs="仿宋_GB2312" w:eastAsia="仿宋_GB2312"/>
                <w:sz w:val="18"/>
                <w:color w:val="000000"/>
              </w:rPr>
              <w:t>20.00%。</w:t>
            </w:r>
          </w:p>
          <w:p>
            <w:pPr>
              <w:pStyle w:val="null3"/>
              <w:ind w:firstLine="600"/>
              <w:jc w:val="left"/>
            </w:pPr>
            <w:r>
              <w:rPr>
                <w:rFonts w:ascii="仿宋_GB2312" w:hAnsi="仿宋_GB2312" w:cs="仿宋_GB2312" w:eastAsia="仿宋_GB2312"/>
                <w:sz w:val="18"/>
                <w:color w:val="000000"/>
              </w:rPr>
              <w:t>（六）</w:t>
            </w:r>
            <w:r>
              <w:rPr>
                <w:rFonts w:ascii="仿宋_GB2312" w:hAnsi="仿宋_GB2312" w:cs="仿宋_GB2312" w:eastAsia="仿宋_GB2312"/>
                <w:sz w:val="18"/>
                <w:color w:val="000000"/>
              </w:rPr>
              <w:t>验收、交付标准和方法</w:t>
            </w:r>
          </w:p>
          <w:p>
            <w:pPr>
              <w:pStyle w:val="null3"/>
              <w:ind w:firstLine="592"/>
              <w:jc w:val="left"/>
            </w:pPr>
            <w:r>
              <w:rPr>
                <w:rFonts w:ascii="仿宋_GB2312" w:hAnsi="仿宋_GB2312" w:cs="仿宋_GB2312" w:eastAsia="仿宋_GB2312"/>
                <w:sz w:val="18"/>
                <w:color w:val="000000"/>
              </w:rPr>
              <w:t>1、总体要求：栽植1年后，苗木每亩保存株数2850株及以上，面积保存率100%,苗</w:t>
            </w:r>
            <w:r>
              <w:rPr>
                <w:rFonts w:ascii="仿宋_GB2312" w:hAnsi="仿宋_GB2312" w:cs="仿宋_GB2312" w:eastAsia="仿宋_GB2312"/>
                <w:sz w:val="18"/>
                <w:color w:val="000000"/>
              </w:rPr>
              <w:t>木成活率</w:t>
            </w:r>
            <w:r>
              <w:rPr>
                <w:rFonts w:ascii="仿宋_GB2312" w:hAnsi="仿宋_GB2312" w:cs="仿宋_GB2312" w:eastAsia="仿宋_GB2312"/>
                <w:sz w:val="18"/>
                <w:color w:val="000000"/>
              </w:rPr>
              <w:t>95%以上，苗木生长健康无杂草，具备整体移交条件。</w:t>
            </w:r>
          </w:p>
          <w:p>
            <w:pPr>
              <w:pStyle w:val="null3"/>
              <w:ind w:firstLine="564"/>
              <w:jc w:val="left"/>
            </w:pPr>
            <w:r>
              <w:rPr>
                <w:rFonts w:ascii="仿宋_GB2312" w:hAnsi="仿宋_GB2312" w:cs="仿宋_GB2312" w:eastAsia="仿宋_GB2312"/>
                <w:sz w:val="18"/>
                <w:color w:val="000000"/>
              </w:rPr>
              <w:t>2、项目在开工后、栽植完成、实施后进行三次验收，对应支付</w:t>
            </w:r>
            <w:r>
              <w:rPr>
                <w:rFonts w:ascii="仿宋_GB2312" w:hAnsi="仿宋_GB2312" w:cs="仿宋_GB2312" w:eastAsia="仿宋_GB2312"/>
                <w:sz w:val="18"/>
                <w:color w:val="000000"/>
              </w:rPr>
              <w:t>3</w:t>
            </w:r>
            <w:r>
              <w:rPr>
                <w:rFonts w:ascii="仿宋_GB2312" w:hAnsi="仿宋_GB2312" w:cs="仿宋_GB2312" w:eastAsia="仿宋_GB2312"/>
                <w:sz w:val="18"/>
                <w:color w:val="000000"/>
              </w:rPr>
              <w:t>0%、</w:t>
            </w:r>
            <w:r>
              <w:rPr>
                <w:rFonts w:ascii="仿宋_GB2312" w:hAnsi="仿宋_GB2312" w:cs="仿宋_GB2312" w:eastAsia="仿宋_GB2312"/>
                <w:sz w:val="18"/>
                <w:color w:val="000000"/>
              </w:rPr>
              <w:t>5</w:t>
            </w:r>
            <w:r>
              <w:rPr>
                <w:rFonts w:ascii="仿宋_GB2312" w:hAnsi="仿宋_GB2312" w:cs="仿宋_GB2312" w:eastAsia="仿宋_GB2312"/>
                <w:sz w:val="18"/>
                <w:color w:val="000000"/>
              </w:rPr>
              <w:t>0%、20%的项目资金。验收由产业办及项目办牵头，组织镇财政所及镇纪检干部参加，验收标</w:t>
            </w:r>
            <w:r>
              <w:rPr>
                <w:rFonts w:ascii="仿宋_GB2312" w:hAnsi="仿宋_GB2312" w:cs="仿宋_GB2312" w:eastAsia="仿宋_GB2312"/>
                <w:sz w:val="18"/>
                <w:color w:val="000000"/>
              </w:rPr>
              <w:t>准分次明确</w:t>
            </w:r>
            <w:r>
              <w:rPr>
                <w:rFonts w:ascii="仿宋_GB2312" w:hAnsi="仿宋_GB2312" w:cs="仿宋_GB2312" w:eastAsia="仿宋_GB2312"/>
                <w:sz w:val="18"/>
                <w:color w:val="000000"/>
              </w:rPr>
              <w:t>为：第一次项目开工后，清林整地、施基肥、起垄、开沟，形</w:t>
            </w:r>
            <w:r>
              <w:rPr>
                <w:rFonts w:ascii="仿宋_GB2312" w:hAnsi="仿宋_GB2312" w:cs="仿宋_GB2312" w:eastAsia="仿宋_GB2312"/>
                <w:sz w:val="18"/>
                <w:color w:val="000000"/>
              </w:rPr>
              <w:t>成苗床，具备栽植幼苗的条</w:t>
            </w:r>
            <w:r>
              <w:rPr>
                <w:rFonts w:ascii="仿宋_GB2312" w:hAnsi="仿宋_GB2312" w:cs="仿宋_GB2312" w:eastAsia="仿宋_GB2312"/>
                <w:sz w:val="18"/>
                <w:color w:val="000000"/>
              </w:rPr>
              <w:t>件即为合格；第二次项目实施中，完成足额幼苗数量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面积和株数</w:t>
            </w:r>
            <w:r>
              <w:rPr>
                <w:rFonts w:ascii="仿宋_GB2312" w:hAnsi="仿宋_GB2312" w:cs="仿宋_GB2312" w:eastAsia="仿宋_GB2312"/>
                <w:sz w:val="18"/>
                <w:color w:val="000000"/>
              </w:rPr>
              <w:t>）</w:t>
            </w:r>
            <w:r>
              <w:rPr>
                <w:rFonts w:ascii="仿宋_GB2312" w:hAnsi="仿宋_GB2312" w:cs="仿宋_GB2312" w:eastAsia="仿宋_GB2312"/>
                <w:sz w:val="18"/>
                <w:color w:val="000000"/>
              </w:rPr>
              <w:t>栽植、水肥管理即为</w:t>
            </w:r>
            <w:r>
              <w:rPr>
                <w:rFonts w:ascii="仿宋_GB2312" w:hAnsi="仿宋_GB2312" w:cs="仿宋_GB2312" w:eastAsia="仿宋_GB2312"/>
                <w:sz w:val="18"/>
                <w:color w:val="000000"/>
              </w:rPr>
              <w:t>合格；第三次项目实施后，完成栽植施肥和除草后，达到竣工验收</w:t>
            </w:r>
            <w:r>
              <w:rPr>
                <w:rFonts w:ascii="仿宋_GB2312" w:hAnsi="仿宋_GB2312" w:cs="仿宋_GB2312" w:eastAsia="仿宋_GB2312"/>
                <w:sz w:val="18"/>
                <w:color w:val="000000"/>
              </w:rPr>
              <w:t>总要求。验收面积以实</w:t>
            </w:r>
            <w:r>
              <w:rPr>
                <w:rFonts w:ascii="仿宋_GB2312" w:hAnsi="仿宋_GB2312" w:cs="仿宋_GB2312" w:eastAsia="仿宋_GB2312"/>
                <w:sz w:val="18"/>
                <w:color w:val="000000"/>
              </w:rPr>
              <w:t>测面积为准，且每亩栽植幼苗的床面不少于</w:t>
            </w:r>
            <w:r>
              <w:rPr>
                <w:rFonts w:ascii="仿宋_GB2312" w:hAnsi="仿宋_GB2312" w:cs="仿宋_GB2312" w:eastAsia="仿宋_GB2312"/>
                <w:sz w:val="18"/>
                <w:color w:val="000000"/>
              </w:rPr>
              <w:t>300平方米，栽植株树以样方测算为准</w:t>
            </w:r>
            <w:r>
              <w:rPr>
                <w:rFonts w:ascii="仿宋_GB2312" w:hAnsi="仿宋_GB2312" w:cs="仿宋_GB2312" w:eastAsia="仿宋_GB2312"/>
                <w:sz w:val="18"/>
                <w:color w:val="000000"/>
              </w:rPr>
              <w:t>（</w:t>
            </w:r>
            <w:r>
              <w:rPr>
                <w:rFonts w:ascii="仿宋_GB2312" w:hAnsi="仿宋_GB2312" w:cs="仿宋_GB2312" w:eastAsia="仿宋_GB2312"/>
                <w:sz w:val="18"/>
                <w:color w:val="000000"/>
              </w:rPr>
              <w:t>随机</w:t>
            </w:r>
            <w:r>
              <w:rPr>
                <w:rFonts w:ascii="仿宋_GB2312" w:hAnsi="仿宋_GB2312" w:cs="仿宋_GB2312" w:eastAsia="仿宋_GB2312"/>
                <w:sz w:val="18"/>
                <w:color w:val="000000"/>
              </w:rPr>
              <w:t>设定样方</w:t>
            </w:r>
            <w:r>
              <w:rPr>
                <w:rFonts w:ascii="仿宋_GB2312" w:hAnsi="仿宋_GB2312" w:cs="仿宋_GB2312" w:eastAsia="仿宋_GB2312"/>
                <w:sz w:val="18"/>
                <w:color w:val="000000"/>
              </w:rPr>
              <w:t>20个</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ind w:firstLine="580"/>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七</w:t>
            </w:r>
            <w:r>
              <w:rPr>
                <w:rFonts w:ascii="仿宋_GB2312" w:hAnsi="仿宋_GB2312" w:cs="仿宋_GB2312" w:eastAsia="仿宋_GB2312"/>
                <w:sz w:val="18"/>
                <w:color w:val="000000"/>
              </w:rPr>
              <w:t>）</w:t>
            </w:r>
            <w:r>
              <w:rPr>
                <w:rFonts w:ascii="仿宋_GB2312" w:hAnsi="仿宋_GB2312" w:cs="仿宋_GB2312" w:eastAsia="仿宋_GB2312"/>
                <w:sz w:val="18"/>
                <w:color w:val="000000"/>
              </w:rPr>
              <w:t>质量保修范围和保修期：自总体验收合格日起，质保期</w:t>
            </w:r>
            <w:r>
              <w:rPr>
                <w:rFonts w:ascii="仿宋_GB2312" w:hAnsi="仿宋_GB2312" w:cs="仿宋_GB2312" w:eastAsia="仿宋_GB2312"/>
                <w:sz w:val="18"/>
                <w:color w:val="000000"/>
              </w:rPr>
              <w:t>1年</w:t>
            </w:r>
          </w:p>
          <w:p>
            <w:pPr>
              <w:pStyle w:val="null3"/>
              <w:ind w:firstLine="584"/>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八</w:t>
            </w:r>
            <w:r>
              <w:rPr>
                <w:rFonts w:ascii="仿宋_GB2312" w:hAnsi="仿宋_GB2312" w:cs="仿宋_GB2312" w:eastAsia="仿宋_GB2312"/>
                <w:sz w:val="18"/>
                <w:color w:val="000000"/>
              </w:rPr>
              <w:t>）</w:t>
            </w:r>
            <w:r>
              <w:rPr>
                <w:rFonts w:ascii="仿宋_GB2312" w:hAnsi="仿宋_GB2312" w:cs="仿宋_GB2312" w:eastAsia="仿宋_GB2312"/>
                <w:sz w:val="18"/>
                <w:color w:val="000000"/>
              </w:rPr>
              <w:t>违约责任与解决争议的方法：违约责任：</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采购人及供应商双方</w:t>
            </w:r>
            <w:r>
              <w:rPr>
                <w:rFonts w:ascii="仿宋_GB2312" w:hAnsi="仿宋_GB2312" w:cs="仿宋_GB2312" w:eastAsia="仿宋_GB2312"/>
                <w:sz w:val="18"/>
                <w:color w:val="000000"/>
              </w:rPr>
              <w:t>必须遵守采</w:t>
            </w:r>
            <w:r>
              <w:rPr>
                <w:rFonts w:ascii="仿宋_GB2312" w:hAnsi="仿宋_GB2312" w:cs="仿宋_GB2312" w:eastAsia="仿宋_GB2312"/>
                <w:sz w:val="18"/>
                <w:color w:val="000000"/>
              </w:rPr>
              <w:t>购合同并执行合同中的各项规定，保证采购合同的正常履行。任何一方违约给对</w:t>
            </w:r>
            <w:r>
              <w:rPr>
                <w:rFonts w:ascii="仿宋_GB2312" w:hAnsi="仿宋_GB2312" w:cs="仿宋_GB2312" w:eastAsia="仿宋_GB2312"/>
                <w:sz w:val="18"/>
                <w:color w:val="000000"/>
              </w:rPr>
              <w:t>方造成的</w:t>
            </w:r>
            <w:r>
              <w:rPr>
                <w:rFonts w:ascii="仿宋_GB2312" w:hAnsi="仿宋_GB2312" w:cs="仿宋_GB2312" w:eastAsia="仿宋_GB2312"/>
                <w:sz w:val="18"/>
                <w:color w:val="000000"/>
              </w:rPr>
              <w:t>直接损失均负有赔偿责任，对方均有权视情况要</w:t>
            </w:r>
            <w:r>
              <w:rPr>
                <w:rFonts w:ascii="仿宋_GB2312" w:hAnsi="仿宋_GB2312" w:cs="仿宋_GB2312" w:eastAsia="仿宋_GB2312"/>
                <w:sz w:val="18"/>
                <w:color w:val="000000"/>
              </w:rPr>
              <w:t>求对方继续履行合同或提出解除合同。</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如因供应商在履行过程中的疏忽、失职、过错等故意或者过失原因给</w:t>
            </w:r>
            <w:r>
              <w:rPr>
                <w:rFonts w:ascii="仿宋_GB2312" w:hAnsi="仿宋_GB2312" w:cs="仿宋_GB2312" w:eastAsia="仿宋_GB2312"/>
                <w:sz w:val="18"/>
                <w:color w:val="000000"/>
              </w:rPr>
              <w:t>采购人造成损失或侵</w:t>
            </w:r>
            <w:r>
              <w:rPr>
                <w:rFonts w:ascii="仿宋_GB2312" w:hAnsi="仿宋_GB2312" w:cs="仿宋_GB2312" w:eastAsia="仿宋_GB2312"/>
                <w:sz w:val="18"/>
                <w:color w:val="000000"/>
              </w:rPr>
              <w:t>害，包括但不限于采购人本身的财产损失、由此而导致的采购</w:t>
            </w:r>
            <w:r>
              <w:rPr>
                <w:rFonts w:ascii="仿宋_GB2312" w:hAnsi="仿宋_GB2312" w:cs="仿宋_GB2312" w:eastAsia="仿宋_GB2312"/>
                <w:sz w:val="18"/>
                <w:color w:val="000000"/>
              </w:rPr>
              <w:t>人对任何第三方的法律责任等，供应商对此均应承担所有的赔偿责任。</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如供应商提交的成果达不到相关质量要求，</w:t>
            </w:r>
            <w:r>
              <w:rPr>
                <w:rFonts w:ascii="仿宋_GB2312" w:hAnsi="仿宋_GB2312" w:cs="仿宋_GB2312" w:eastAsia="仿宋_GB2312"/>
                <w:sz w:val="18"/>
                <w:color w:val="000000"/>
              </w:rPr>
              <w:t>采购人有权扣除合同支付金额和提出解除合同。争议解决办法：</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采购人及供应商双方</w:t>
            </w:r>
            <w:r>
              <w:rPr>
                <w:rFonts w:ascii="仿宋_GB2312" w:hAnsi="仿宋_GB2312" w:cs="仿宋_GB2312" w:eastAsia="仿宋_GB2312"/>
                <w:sz w:val="18"/>
                <w:color w:val="000000"/>
              </w:rPr>
              <w:t>就采购合同所产生的任何争议都应该进行友好协商，协商解决不成的，</w:t>
            </w:r>
            <w:r>
              <w:rPr>
                <w:rFonts w:ascii="仿宋_GB2312" w:hAnsi="仿宋_GB2312" w:cs="仿宋_GB2312" w:eastAsia="仿宋_GB2312"/>
                <w:sz w:val="18"/>
                <w:color w:val="000000"/>
              </w:rPr>
              <w:t>任何一方均可向项目所在地仲裁委员会申请仲裁。</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仲裁费应由败诉方承担。</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在仲裁期间，除正在进行</w:t>
            </w:r>
            <w:r>
              <w:rPr>
                <w:rFonts w:ascii="仿宋_GB2312" w:hAnsi="仿宋_GB2312" w:cs="仿宋_GB2312" w:eastAsia="仿宋_GB2312"/>
                <w:sz w:val="18"/>
                <w:color w:val="000000"/>
              </w:rPr>
              <w:t>仲裁的部分外，合同其他部分继续执行。</w:t>
            </w:r>
          </w:p>
          <w:p>
            <w:pPr>
              <w:pStyle w:val="null3"/>
              <w:ind w:firstLine="584"/>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九</w:t>
            </w:r>
            <w:r>
              <w:rPr>
                <w:rFonts w:ascii="仿宋_GB2312" w:hAnsi="仿宋_GB2312" w:cs="仿宋_GB2312" w:eastAsia="仿宋_GB2312"/>
                <w:sz w:val="18"/>
                <w:color w:val="000000"/>
              </w:rPr>
              <w:t>）</w:t>
            </w:r>
            <w:r>
              <w:rPr>
                <w:rFonts w:ascii="仿宋_GB2312" w:hAnsi="仿宋_GB2312" w:cs="仿宋_GB2312" w:eastAsia="仿宋_GB2312"/>
                <w:sz w:val="18"/>
                <w:color w:val="000000"/>
              </w:rPr>
              <w:t>包装方式及运输：涉及的商品包装和快递包装，</w:t>
            </w:r>
            <w:r>
              <w:rPr>
                <w:rFonts w:ascii="仿宋_GB2312" w:hAnsi="仿宋_GB2312" w:cs="仿宋_GB2312" w:eastAsia="仿宋_GB2312"/>
                <w:sz w:val="18"/>
                <w:color w:val="000000"/>
              </w:rPr>
              <w:t>均应符合《商品包装政府采购</w:t>
            </w:r>
            <w:r>
              <w:rPr>
                <w:rFonts w:ascii="仿宋_GB2312" w:hAnsi="仿宋_GB2312" w:cs="仿宋_GB2312" w:eastAsia="仿宋_GB2312"/>
                <w:sz w:val="18"/>
                <w:color w:val="000000"/>
              </w:rPr>
              <w:t>需求标准</w:t>
            </w:r>
            <w:r>
              <w:rPr>
                <w:rFonts w:ascii="仿宋_GB2312" w:hAnsi="仿宋_GB2312" w:cs="仿宋_GB2312" w:eastAsia="仿宋_GB2312"/>
                <w:sz w:val="18"/>
                <w:color w:val="000000"/>
              </w:rPr>
              <w:t>（</w:t>
            </w:r>
            <w:r>
              <w:rPr>
                <w:rFonts w:ascii="仿宋_GB2312" w:hAnsi="仿宋_GB2312" w:cs="仿宋_GB2312" w:eastAsia="仿宋_GB2312"/>
                <w:sz w:val="18"/>
                <w:color w:val="000000"/>
              </w:rPr>
              <w:t>试行</w:t>
            </w:r>
            <w:r>
              <w:rPr>
                <w:rFonts w:ascii="仿宋_GB2312" w:hAnsi="仿宋_GB2312" w:cs="仿宋_GB2312" w:eastAsia="仿宋_GB2312"/>
                <w:sz w:val="18"/>
                <w:color w:val="000000"/>
              </w:rPr>
              <w:t>）</w:t>
            </w:r>
            <w:r>
              <w:rPr>
                <w:rFonts w:ascii="仿宋_GB2312" w:hAnsi="仿宋_GB2312" w:cs="仿宋_GB2312" w:eastAsia="仿宋_GB2312"/>
                <w:sz w:val="18"/>
                <w:color w:val="000000"/>
              </w:rPr>
              <w:t>》《快递包装政府采购需求标准</w:t>
            </w:r>
            <w:r>
              <w:rPr>
                <w:rFonts w:ascii="仿宋_GB2312" w:hAnsi="仿宋_GB2312" w:cs="仿宋_GB2312" w:eastAsia="仿宋_GB2312"/>
                <w:sz w:val="18"/>
                <w:color w:val="000000"/>
              </w:rPr>
              <w:t>（</w:t>
            </w:r>
            <w:r>
              <w:rPr>
                <w:rFonts w:ascii="仿宋_GB2312" w:hAnsi="仿宋_GB2312" w:cs="仿宋_GB2312" w:eastAsia="仿宋_GB2312"/>
                <w:sz w:val="18"/>
                <w:color w:val="000000"/>
              </w:rPr>
              <w:t>试行</w:t>
            </w:r>
            <w:r>
              <w:rPr>
                <w:rFonts w:ascii="仿宋_GB2312" w:hAnsi="仿宋_GB2312" w:cs="仿宋_GB2312" w:eastAsia="仿宋_GB2312"/>
                <w:sz w:val="18"/>
                <w:color w:val="000000"/>
              </w:rPr>
              <w:t>）</w:t>
            </w:r>
            <w:r>
              <w:rPr>
                <w:rFonts w:ascii="仿宋_GB2312" w:hAnsi="仿宋_GB2312" w:cs="仿宋_GB2312" w:eastAsia="仿宋_GB2312"/>
                <w:sz w:val="18"/>
                <w:color w:val="000000"/>
              </w:rPr>
              <w:t>》的要求，包装应适应于远距</w:t>
            </w:r>
            <w:r>
              <w:rPr>
                <w:rFonts w:ascii="仿宋_GB2312" w:hAnsi="仿宋_GB2312" w:cs="仿宋_GB2312" w:eastAsia="仿宋_GB2312"/>
                <w:sz w:val="18"/>
                <w:color w:val="000000"/>
              </w:rPr>
              <w:t>离运输、防潮、防震、防锈和防野蛮装卸，以确保货物安全无损运抵指定地点。</w:t>
            </w:r>
          </w:p>
          <w:p>
            <w:pPr>
              <w:pStyle w:val="null3"/>
              <w:ind w:firstLine="534"/>
              <w:jc w:val="left"/>
            </w:pPr>
            <w:r>
              <w:rPr>
                <w:rFonts w:ascii="仿宋_GB2312" w:hAnsi="仿宋_GB2312" w:cs="仿宋_GB2312" w:eastAsia="仿宋_GB2312"/>
                <w:sz w:val="18"/>
                <w:b/>
                <w:color w:val="000000"/>
              </w:rPr>
              <w:t>四、其他要求</w:t>
            </w:r>
          </w:p>
          <w:p>
            <w:pPr>
              <w:pStyle w:val="null3"/>
              <w:ind w:firstLine="592"/>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一</w:t>
            </w:r>
            <w:r>
              <w:rPr>
                <w:rFonts w:ascii="仿宋_GB2312" w:hAnsi="仿宋_GB2312" w:cs="仿宋_GB2312" w:eastAsia="仿宋_GB2312"/>
                <w:sz w:val="18"/>
                <w:color w:val="000000"/>
              </w:rPr>
              <w:t>）</w:t>
            </w:r>
            <w:r>
              <w:rPr>
                <w:rFonts w:ascii="仿宋_GB2312" w:hAnsi="仿宋_GB2312" w:cs="仿宋_GB2312" w:eastAsia="仿宋_GB2312"/>
                <w:sz w:val="18"/>
                <w:color w:val="000000"/>
              </w:rPr>
              <w:t>报价要求：报价包含清林、整地、起</w:t>
            </w:r>
            <w:r>
              <w:rPr>
                <w:rFonts w:ascii="仿宋_GB2312" w:hAnsi="仿宋_GB2312" w:cs="仿宋_GB2312" w:eastAsia="仿宋_GB2312"/>
                <w:sz w:val="18"/>
                <w:color w:val="000000"/>
              </w:rPr>
              <w:t>垄、开沟、施肥、</w:t>
            </w:r>
            <w:r>
              <w:rPr>
                <w:rFonts w:ascii="仿宋_GB2312" w:hAnsi="仿宋_GB2312" w:cs="仿宋_GB2312" w:eastAsia="仿宋_GB2312"/>
                <w:sz w:val="18"/>
                <w:color w:val="000000"/>
              </w:rPr>
              <w:t>栽苗、浇水、除草、</w:t>
            </w:r>
            <w:r>
              <w:rPr>
                <w:rFonts w:ascii="仿宋_GB2312" w:hAnsi="仿宋_GB2312" w:cs="仿宋_GB2312" w:eastAsia="仿宋_GB2312"/>
                <w:sz w:val="18"/>
                <w:color w:val="000000"/>
              </w:rPr>
              <w:t>病虫害防治、管护、苗木运输、送检等一切费用。</w:t>
            </w:r>
          </w:p>
          <w:p>
            <w:pPr>
              <w:pStyle w:val="null3"/>
              <w:ind w:firstLine="592"/>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二</w:t>
            </w:r>
            <w:r>
              <w:rPr>
                <w:rFonts w:ascii="仿宋_GB2312" w:hAnsi="仿宋_GB2312" w:cs="仿宋_GB2312" w:eastAsia="仿宋_GB2312"/>
                <w:sz w:val="18"/>
                <w:color w:val="000000"/>
              </w:rPr>
              <w:t>）</w:t>
            </w:r>
            <w:r>
              <w:rPr>
                <w:rFonts w:ascii="仿宋_GB2312" w:hAnsi="仿宋_GB2312" w:cs="仿宋_GB2312" w:eastAsia="仿宋_GB2312"/>
                <w:sz w:val="18"/>
                <w:color w:val="000000"/>
              </w:rPr>
              <w:t>供应商交货时须提供该批苗木的有效</w:t>
            </w:r>
            <w:r>
              <w:rPr>
                <w:rFonts w:ascii="仿宋_GB2312" w:hAnsi="仿宋_GB2312" w:cs="仿宋_GB2312" w:eastAsia="仿宋_GB2312"/>
                <w:sz w:val="18"/>
                <w:color w:val="000000"/>
              </w:rPr>
              <w:t>成分第三方机构出具的检测报告原件。</w:t>
            </w:r>
            <w:r>
              <w:rPr>
                <w:rFonts w:ascii="仿宋_GB2312" w:hAnsi="仿宋_GB2312" w:cs="仿宋_GB2312" w:eastAsia="仿宋_GB2312"/>
                <w:sz w:val="18"/>
                <w:color w:val="000000"/>
              </w:rPr>
              <w:t>不提交的采购人拒绝验收。采购人和供应商对提供的苗木进行当场抽样封存，并送具</w:t>
            </w:r>
            <w:r>
              <w:rPr>
                <w:rFonts w:ascii="仿宋_GB2312" w:hAnsi="仿宋_GB2312" w:cs="仿宋_GB2312" w:eastAsia="仿宋_GB2312"/>
                <w:sz w:val="18"/>
                <w:color w:val="000000"/>
              </w:rPr>
              <w:t>有资</w:t>
            </w:r>
            <w:r>
              <w:rPr>
                <w:rFonts w:ascii="仿宋_GB2312" w:hAnsi="仿宋_GB2312" w:cs="仿宋_GB2312" w:eastAsia="仿宋_GB2312"/>
                <w:sz w:val="18"/>
                <w:color w:val="000000"/>
              </w:rPr>
              <w:t>质的检验机构检测技术参数要求中实质性要求指标，检测结果不合格采购人将拒绝验收并</w:t>
            </w:r>
            <w:r>
              <w:rPr>
                <w:rFonts w:ascii="仿宋_GB2312" w:hAnsi="仿宋_GB2312" w:cs="仿宋_GB2312" w:eastAsia="仿宋_GB2312"/>
                <w:sz w:val="18"/>
                <w:color w:val="000000"/>
              </w:rPr>
              <w:t>上报财政监管部门对虚假响应的供应商进行行政处罚。响应时提供承</w:t>
            </w:r>
            <w:r>
              <w:rPr>
                <w:rFonts w:ascii="仿宋_GB2312" w:hAnsi="仿宋_GB2312" w:cs="仿宋_GB2312" w:eastAsia="仿宋_GB2312"/>
                <w:sz w:val="18"/>
                <w:color w:val="000000"/>
              </w:rPr>
              <w:t>诺函加盖供应商公</w:t>
            </w:r>
            <w:r>
              <w:rPr>
                <w:rFonts w:ascii="仿宋_GB2312" w:hAnsi="仿宋_GB2312" w:cs="仿宋_GB2312" w:eastAsia="仿宋_GB2312"/>
                <w:sz w:val="18"/>
                <w:color w:val="000000"/>
              </w:rPr>
              <w:t>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2026年12月底之前完工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合同签订生效后，清林整地、施基肥、起垄、开沟，形成苗床，具备栽植幼苗条件并验收合格后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项目实施中，根据甲方要求完成指定数额幼苗数量（面积和株数）栽植，完成水肥管理并验收合格后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项目实施后，完成栽植施肥和除草后，通过竣工验收总要求</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具体按照财政部《 关于推动解决政府采购异常低价问题的通知》 （财库[2026]2号）文件执行。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服务方案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保证金截图.docx 服务内容及服务邀请应答表 供应商类似项目业绩一览表.docx 中小企业声明函 商务应答表 报价表 响应文件封面 残疾人福利性单位声明函 服务方案 标的清单 供应商应提交的相关资格证明文件.docx 响应函 供应商认为需要补充的其他内容.docx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保证金截图.docx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项目总体部署</w:t>
            </w:r>
          </w:p>
        </w:tc>
        <w:tc>
          <w:tcPr>
            <w:tcW w:type="dxa" w:w="2492"/>
          </w:tcPr>
          <w:p>
            <w:pPr>
              <w:pStyle w:val="null3"/>
            </w:pPr>
            <w:r>
              <w:rPr>
                <w:rFonts w:ascii="仿宋_GB2312" w:hAnsi="仿宋_GB2312" w:cs="仿宋_GB2312" w:eastAsia="仿宋_GB2312"/>
              </w:rPr>
              <w:t>一、评审内容 针对本项目的具体情况拟定适用于本项目实施方案，内容包括：①项目目标及认知；②苗木储存；③总体实施方案安排；④人员安排。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①施工目标及认知：每完全满足一个评审标准得1分，满分3分； ②苗木储存：每完全满足一个评审标准得1分，满分3分； ③总体实施方案安排：每完全满足一个评审标准得1分，满分3分；④人员安排：每完全满足一个评审标准得1分，满分3分。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总体实施方法</w:t>
            </w:r>
          </w:p>
        </w:tc>
        <w:tc>
          <w:tcPr>
            <w:tcW w:type="dxa" w:w="2492"/>
          </w:tcPr>
          <w:p>
            <w:pPr>
              <w:pStyle w:val="null3"/>
            </w:pPr>
            <w:r>
              <w:rPr>
                <w:rFonts w:ascii="仿宋_GB2312" w:hAnsi="仿宋_GB2312" w:cs="仿宋_GB2312" w:eastAsia="仿宋_GB2312"/>
              </w:rPr>
              <w:t>一、评审内容 针对本项目提供详细的种植技术参数，拟定适用于本项目的实施方法，内容包括：①实施方案；②技术措施；③施工工艺及流程；④人员及机械设备管理；⑤服务重点难点分析及应对措施。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①实施方案：每完全满足一个评审标准得1分，满分3分； ②技术措施：每完全满足一个评审标准得1分，满分3分； ③施工工艺及流程：每完全满足一个评审标准得1分，满分3分；④人员及机械设备管理：每完全满足一个评审标准得1分，满分3分；⑤服务重点难点分析及应对措施：每完全满足一个评审标准得1分，满分3分。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成活率保证措施</w:t>
            </w:r>
          </w:p>
        </w:tc>
        <w:tc>
          <w:tcPr>
            <w:tcW w:type="dxa" w:w="2492"/>
          </w:tcPr>
          <w:p>
            <w:pPr>
              <w:pStyle w:val="null3"/>
            </w:pPr>
            <w:r>
              <w:rPr>
                <w:rFonts w:ascii="仿宋_GB2312" w:hAnsi="仿宋_GB2312" w:cs="仿宋_GB2312" w:eastAsia="仿宋_GB2312"/>
              </w:rPr>
              <w:t>一、评审内容 针对本项目提供详细的成活率保证方案。内容包括：①种苗质量控制措施；②组织保证措施；③技术保证措施；④后期补植、管护措施。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①种苗质量控制措施：每完全满足一个评审标准得1分，满分3分； ②组织保证措施：每完全满足一个评审标准得1分，满分3分；③技术保障措施：每完全满足一个评审标准得1分，满分3分；④后期补植、管护措施：每完全满足一个评审标准得1分，满分3分。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风险防控措施</w:t>
            </w:r>
          </w:p>
        </w:tc>
        <w:tc>
          <w:tcPr>
            <w:tcW w:type="dxa" w:w="2492"/>
          </w:tcPr>
          <w:p>
            <w:pPr>
              <w:pStyle w:val="null3"/>
            </w:pPr>
            <w:r>
              <w:rPr>
                <w:rFonts w:ascii="仿宋_GB2312" w:hAnsi="仿宋_GB2312" w:cs="仿宋_GB2312" w:eastAsia="仿宋_GB2312"/>
              </w:rPr>
              <w:t>一、评审内容 针对本项目提供易发生的病虫害、生长竞争等问题，制定具体防控措施方案。内容包括：①源头防控措施；②病虫害防治措施；③过程监测与应急防控措施。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①源头防控措施：每完全满足一个评审标准得1分，满分3分； ②病虫害防治措施：每完全满足一个评审标准得1分，满分3分；③过程监测与应急防控措施：每完全满足一个评审标准得1分，满分3分。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供应商针对本项目编制完善的质量保证措施，内容包含：①质量目标及管理体系；②质量检验制度；③确保质量的技术组织措施；④质量控制措施。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①质量管理目标及管理体系：每完全满足一个评审标准得1分，满分3分； ②质量检验制度：每完全满足一个评审标准得1分，满分3分； ③确保质量的技术组织措施：每完全满足一个评审标准得1分，满分3分；④质量控制措施：每完全满足一个评审标准得1分，满分3分。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供应商针对本项目编制完善的进度计划，内容包含：①进度目标和进度计划表；②进度计划保证措施；③进度计划控制措施。 二、评审标准 1、完整性：内容必须全面，对评审内容中的各项要求有详细描述； 2、可实施性：切合本项目实际情况，实施步骤清晰、合理； 3、针对性：能够紧扣项目实际情况，内容科学合理。 三、赋分标准（针对每条评审标准，如存在不合理的方面每处扣0.5分，扣完为止） ①进度目标和进度计划表：每完全满足一个评审标准得1分，满分3分； ②进度计划保证措施：每完全满足一个评审标准得1分，满分3分； ③进度计划控制措施：每完全满足一个评审标准得1分，满分3分。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1、完整性：措施必须全面，对评审内容中的各项要求有详细描述； 2、可实施性：切合本项目实际情况， 实施步骤清晰、合理； 3、针对性：能够紧扣项目实际情况，内容科学合理。 三、赋分标准 （针对每条评审标准，如存在不合理的方面每处扣0.5分，扣完为止）①安全生产管理制度：每完全满足一个评审标准得1分，满分3分； ②安全文明施工措施：每完全满足一个评审标准得1分，满分3分； ③安全应急预案：每完全满足一个评审标准得1分，满分3分； ④安全生产教育：每完全满足 一个评审标准得1分，满分3分。 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相关承诺，内容包括：①苗木质量承诺（中标交货时县外幼苗需提供苗木检疫证、合格证及产地标签，本地幼苗提供产地检疫）；②提供有效成分检测报告书承诺（交货时须提供该批苗木的有效成分第三方机构出具的检测报告原件）。每有一个承诺得2分，满分4分。评审依据：以响应文件中提供的承诺函原件为准。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提供2023年1月1日以来供应商类似项目的业绩（承包种植、苗木养护等农业相关业绩），响应文件中附业绩合同复印件，每份2.5分，满分5分。 评审依据：以响应文件中提供的合同复印件为准；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详见附件：供应商认为需要补充的其他内容.docx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详见附件：保证金截图.docx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