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版本号：ATZB-2026-041320260413002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2026年镇巴县泾洋街道办七里沟村经济合作社茶园基地轨道建设项目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ATZB-2026-0413</w:t>
      </w:r>
      <w:r>
        <w:br/>
      </w:r>
      <w:r>
        <w:br/>
      </w:r>
      <w:r>
        <w:br/>
      </w:r>
    </w:p>
    <w:p>
      <w:pPr>
        <w:pStyle w:val="null3"/>
        <w:jc w:val="center"/>
        <w:outlineLvl w:val="2"/>
      </w:pPr>
      <w:r>
        <w:rPr>
          <w:rFonts w:ascii="仿宋_GB2312" w:hAnsi="仿宋_GB2312" w:cs="仿宋_GB2312" w:eastAsia="仿宋_GB2312"/>
          <w:sz w:val="28"/>
          <w:b/>
        </w:rPr>
        <w:t>镇巴县泾洋街道办事处</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镇巴县泾洋街道办事处</w:t>
      </w:r>
      <w:r>
        <w:rPr>
          <w:rFonts w:ascii="仿宋_GB2312" w:hAnsi="仿宋_GB2312" w:cs="仿宋_GB2312" w:eastAsia="仿宋_GB2312"/>
        </w:rPr>
        <w:t>委托，拟对</w:t>
      </w:r>
      <w:r>
        <w:rPr>
          <w:rFonts w:ascii="仿宋_GB2312" w:hAnsi="仿宋_GB2312" w:cs="仿宋_GB2312" w:eastAsia="仿宋_GB2312"/>
        </w:rPr>
        <w:t>2026年镇巴县泾洋街道办七里沟村经济合作社茶园基地轨道建设项目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ATZB-2026-0413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2026年镇巴县泾洋街道办七里沟村经济合作社茶园基地轨道建设项目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新建3100米茶园运输轨道，包含2组轨道运输车，3100米轨道，配套附件及安装、调试、验收、技术培训及相关技术服务。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采购包1（2026年镇巴县泾洋街道办七里沟村经济合作社茶园基地轨道建设项目）：属于专门面向中小企业采购。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直接参加磋商的，须出具法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提供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镇巴县泾洋街道办事处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镇巴县泾洋街道办事处泾洋桥头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镇巴县泾洋街道办事处经办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13571659759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陕西省汉中市汉台区竹园华府天玺中心办公楼11楼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参照国家计委2002年颁发的《招标代理服务收费管理暂行办法》(计价格〔2002〕1980号)及国家发改委2011年颁布的《国家发展改革委关于降低部分建设项目收费标准规范收费行为等有关问题的通知 》（发改价格〔2011〕534号）采用现金、转账或汇款方式缴纳。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镇巴县泾洋街道办事处</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镇巴县泾洋街道办事处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镇巴县泾洋街道办事处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地址：陕西省汉中市镇巴县水韵广场东侧20米全顺汽贸五楼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新建3100米茶园运输轨道，包含2组轨道运输车，3100米轨道，配套附件及安装、调试、验收、技术培训及相关技术服务。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2026年镇巴县泾洋街道办七里沟村经济合作社茶园基地轨道建设项目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标的名称：2026年镇巴县泾洋街道办七里沟村经济合作社茶园基地轨道建设项目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05"/>
              <w:gridCol w:w="481"/>
              <w:gridCol w:w="413"/>
              <w:gridCol w:w="413"/>
              <w:gridCol w:w="2107"/>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设备名称</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计量单位</w:t>
                  </w:r>
                </w:p>
              </w:tc>
              <w:tc>
                <w:tcPr>
                  <w:tcW w:type="dxa" w:w="2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主要技术参数</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轨道运输车</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组</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1）发动机动力系统</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8"/>
                      <w:color w:val="000000"/>
                    </w:rPr>
                    <w:t>1. 发动机型式：单缸、风冷、四冲程汽油发动机</w:t>
                  </w:r>
                </w:p>
                <w:p>
                  <w:pPr>
                    <w:pStyle w:val="null3"/>
                    <w:jc w:val="left"/>
                  </w:pPr>
                  <w:r>
                    <w:rPr>
                      <w:rFonts w:ascii="仿宋_GB2312" w:hAnsi="仿宋_GB2312" w:cs="仿宋_GB2312" w:eastAsia="仿宋_GB2312"/>
                      <w:sz w:val="28"/>
                      <w:color w:val="000000"/>
                    </w:rPr>
                    <w:t>2. 排量：≥152cc</w:t>
                  </w:r>
                </w:p>
                <w:p>
                  <w:pPr>
                    <w:pStyle w:val="null3"/>
                    <w:jc w:val="left"/>
                  </w:pPr>
                  <w:r>
                    <w:rPr>
                      <w:rFonts w:ascii="仿宋_GB2312" w:hAnsi="仿宋_GB2312" w:cs="仿宋_GB2312" w:eastAsia="仿宋_GB2312"/>
                      <w:sz w:val="28"/>
                      <w:color w:val="000000"/>
                    </w:rPr>
                    <w:t>3. 额定功率：≥3.8kW/5.5HP</w:t>
                  </w:r>
                </w:p>
                <w:p>
                  <w:pPr>
                    <w:pStyle w:val="null3"/>
                    <w:jc w:val="left"/>
                  </w:pPr>
                  <w:r>
                    <w:rPr>
                      <w:rFonts w:ascii="仿宋_GB2312" w:hAnsi="仿宋_GB2312" w:cs="仿宋_GB2312" w:eastAsia="仿宋_GB2312"/>
                      <w:sz w:val="28"/>
                      <w:color w:val="000000"/>
                    </w:rPr>
                    <w:t>4. 启动方式：手拉反冲启动，可选配电启动</w:t>
                  </w:r>
                </w:p>
                <w:p>
                  <w:pPr>
                    <w:pStyle w:val="null3"/>
                    <w:jc w:val="left"/>
                  </w:pPr>
                  <w:r>
                    <w:rPr>
                      <w:rFonts w:ascii="仿宋_GB2312" w:hAnsi="仿宋_GB2312" w:cs="仿宋_GB2312" w:eastAsia="仿宋_GB2312"/>
                      <w:sz w:val="28"/>
                      <w:color w:val="000000"/>
                    </w:rPr>
                    <w:t>5. 燃油标号：92#及以上无铅汽油</w:t>
                  </w:r>
                </w:p>
                <w:p>
                  <w:pPr>
                    <w:pStyle w:val="null3"/>
                    <w:jc w:val="left"/>
                  </w:pPr>
                  <w:r>
                    <w:rPr>
                      <w:rFonts w:ascii="仿宋_GB2312" w:hAnsi="仿宋_GB2312" w:cs="仿宋_GB2312" w:eastAsia="仿宋_GB2312"/>
                      <w:sz w:val="28"/>
                      <w:color w:val="000000"/>
                    </w:rPr>
                    <w:t>6. 油箱容积：≥3.5L</w:t>
                  </w:r>
                </w:p>
                <w:p>
                  <w:pPr>
                    <w:pStyle w:val="null3"/>
                    <w:jc w:val="left"/>
                  </w:pPr>
                  <w:r>
                    <w:rPr>
                      <w:rFonts w:ascii="仿宋_GB2312" w:hAnsi="仿宋_GB2312" w:cs="仿宋_GB2312" w:eastAsia="仿宋_GB2312"/>
                      <w:sz w:val="28"/>
                      <w:color w:val="000000"/>
                    </w:rPr>
                    <w:t>7. 连续工作时间：满载工况下≥3小时</w:t>
                  </w:r>
                </w:p>
                <w:p>
                  <w:pPr>
                    <w:pStyle w:val="null3"/>
                    <w:jc w:val="left"/>
                  </w:pPr>
                  <w:r>
                    <w:rPr>
                      <w:rFonts w:ascii="仿宋_GB2312" w:hAnsi="仿宋_GB2312" w:cs="仿宋_GB2312" w:eastAsia="仿宋_GB2312"/>
                      <w:sz w:val="28"/>
                      <w:color w:val="000000"/>
                    </w:rPr>
                    <w:t>8. 排放标准：满足国内非道路移动机械通用排放要求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8"/>
                      <w:b/>
                      <w:color w:val="000000"/>
                    </w:rPr>
                    <w:t>2）、承载与车身</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 额定载重：≥300kg</w:t>
                  </w:r>
                </w:p>
                <w:p>
                  <w:pPr>
                    <w:pStyle w:val="null3"/>
                    <w:jc w:val="left"/>
                  </w:pPr>
                  <w:r>
                    <w:rPr>
                      <w:rFonts w:ascii="仿宋_GB2312" w:hAnsi="仿宋_GB2312" w:cs="仿宋_GB2312" w:eastAsia="仿宋_GB2312"/>
                      <w:sz w:val="28"/>
                      <w:color w:val="000000"/>
                    </w:rPr>
                    <w:t>2. 车厢尺寸：长≥1960mm，宽≥590mm，高≥520mm</w:t>
                  </w:r>
                </w:p>
                <w:p>
                  <w:pPr>
                    <w:pStyle w:val="null3"/>
                    <w:jc w:val="left"/>
                  </w:pPr>
                  <w:r>
                    <w:rPr>
                      <w:rFonts w:ascii="仿宋_GB2312" w:hAnsi="仿宋_GB2312" w:cs="仿宋_GB2312" w:eastAsia="仿宋_GB2312"/>
                      <w:sz w:val="28"/>
                      <w:color w:val="000000"/>
                    </w:rPr>
                    <w:t>- 可拆卸式护栏，方便装卸茶叶筐</w:t>
                  </w:r>
                </w:p>
                <w:p>
                  <w:pPr>
                    <w:pStyle w:val="null3"/>
                    <w:jc w:val="left"/>
                  </w:pPr>
                  <w:r>
                    <w:rPr>
                      <w:rFonts w:ascii="仿宋_GB2312" w:hAnsi="仿宋_GB2312" w:cs="仿宋_GB2312" w:eastAsia="仿宋_GB2312"/>
                      <w:sz w:val="28"/>
                      <w:color w:val="000000"/>
                    </w:rPr>
                    <w:t>- 底板防滑、不漏叶、易冲洗</w:t>
                  </w:r>
                </w:p>
                <w:p>
                  <w:pPr>
                    <w:pStyle w:val="null3"/>
                    <w:jc w:val="left"/>
                  </w:pPr>
                  <w:r>
                    <w:rPr>
                      <w:rFonts w:ascii="仿宋_GB2312" w:hAnsi="仿宋_GB2312" w:cs="仿宋_GB2312" w:eastAsia="仿宋_GB2312"/>
                      <w:sz w:val="28"/>
                      <w:color w:val="000000"/>
                    </w:rPr>
                    <w:t>- 可选配茶叶专用筐架/托盘位</w:t>
                  </w:r>
                </w:p>
                <w:p>
                  <w:pPr>
                    <w:pStyle w:val="null3"/>
                    <w:jc w:val="left"/>
                  </w:pPr>
                  <w:r>
                    <w:rPr>
                      <w:rFonts w:ascii="仿宋_GB2312" w:hAnsi="仿宋_GB2312" w:cs="仿宋_GB2312" w:eastAsia="仿宋_GB2312"/>
                      <w:sz w:val="28"/>
                      <w:color w:val="000000"/>
                    </w:rPr>
                    <w:t>-在明显位置有额定载重、严禁载人、严禁超载等内容安全警示标志；</w:t>
                  </w:r>
                </w:p>
                <w:p>
                  <w:pPr>
                    <w:pStyle w:val="null3"/>
                    <w:jc w:val="left"/>
                  </w:pPr>
                  <w:r>
                    <w:rPr>
                      <w:rFonts w:ascii="仿宋_GB2312" w:hAnsi="仿宋_GB2312" w:cs="仿宋_GB2312" w:eastAsia="仿宋_GB2312"/>
                      <w:sz w:val="28"/>
                      <w:color w:val="000000"/>
                    </w:rPr>
                    <w:t>4. 整车自重：≤120kg</w:t>
                  </w:r>
                </w:p>
                <w:p>
                  <w:pPr>
                    <w:pStyle w:val="null3"/>
                    <w:jc w:val="left"/>
                  </w:pPr>
                  <w:r>
                    <w:rPr>
                      <w:rFonts w:ascii="仿宋_GB2312" w:hAnsi="仿宋_GB2312" w:cs="仿宋_GB2312" w:eastAsia="仿宋_GB2312"/>
                      <w:sz w:val="28"/>
                      <w:color w:val="000000"/>
                    </w:rPr>
                    <w:t>5. 转弯半径：水平转弯半径≤3m</w:t>
                  </w:r>
                </w:p>
                <w:p>
                  <w:pPr>
                    <w:pStyle w:val="null3"/>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）制动与安全系统</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8"/>
                      <w:color w:val="000000"/>
                    </w:rPr>
                    <w:t>1. 行车制动：手刹式机械制动</w:t>
                  </w:r>
                </w:p>
                <w:p>
                  <w:pPr>
                    <w:pStyle w:val="null3"/>
                    <w:jc w:val="left"/>
                  </w:pPr>
                  <w:r>
                    <w:rPr>
                      <w:rFonts w:ascii="仿宋_GB2312" w:hAnsi="仿宋_GB2312" w:cs="仿宋_GB2312" w:eastAsia="仿宋_GB2312"/>
                      <w:sz w:val="28"/>
                      <w:color w:val="000000"/>
                    </w:rPr>
                    <w:t>2. 驻车制动：自锁式制动，坡道停车不溜车</w:t>
                  </w:r>
                </w:p>
                <w:p>
                  <w:pPr>
                    <w:pStyle w:val="null3"/>
                    <w:jc w:val="left"/>
                  </w:pPr>
                  <w:r>
                    <w:rPr>
                      <w:rFonts w:ascii="仿宋_GB2312" w:hAnsi="仿宋_GB2312" w:cs="仿宋_GB2312" w:eastAsia="仿宋_GB2312"/>
                      <w:sz w:val="28"/>
                      <w:color w:val="000000"/>
                    </w:rPr>
                    <w:t>3. 过载保护：离合器打滑保护，防止堵转损坏发动机</w:t>
                  </w:r>
                </w:p>
                <w:p>
                  <w:pPr>
                    <w:pStyle w:val="null3"/>
                    <w:jc w:val="left"/>
                  </w:pPr>
                  <w:r>
                    <w:rPr>
                      <w:rFonts w:ascii="仿宋_GB2312" w:hAnsi="仿宋_GB2312" w:cs="仿宋_GB2312" w:eastAsia="仿宋_GB2312"/>
                      <w:sz w:val="28"/>
                      <w:color w:val="000000"/>
                    </w:rPr>
                    <w:t>4. 安全装置：</w:t>
                  </w:r>
                </w:p>
                <w:p>
                  <w:pPr>
                    <w:pStyle w:val="null3"/>
                    <w:jc w:val="left"/>
                  </w:pPr>
                  <w:r>
                    <w:rPr>
                      <w:rFonts w:ascii="仿宋_GB2312" w:hAnsi="仿宋_GB2312" w:cs="仿宋_GB2312" w:eastAsia="仿宋_GB2312"/>
                      <w:sz w:val="28"/>
                      <w:color w:val="000000"/>
                    </w:rPr>
                    <w:t>- 紧急停机开关</w:t>
                  </w:r>
                </w:p>
                <w:p>
                  <w:pPr>
                    <w:pStyle w:val="null3"/>
                    <w:jc w:val="left"/>
                  </w:pPr>
                  <w:r>
                    <w:rPr>
                      <w:rFonts w:ascii="仿宋_GB2312" w:hAnsi="仿宋_GB2312" w:cs="仿宋_GB2312" w:eastAsia="仿宋_GB2312"/>
                      <w:sz w:val="28"/>
                      <w:color w:val="000000"/>
                    </w:rPr>
                    <w:t>- 防护挡板，防止衣物卷入传动部位</w:t>
                  </w:r>
                </w:p>
                <w:p>
                  <w:pPr>
                    <w:pStyle w:val="null3"/>
                    <w:jc w:val="left"/>
                  </w:pPr>
                  <w:r>
                    <w:rPr>
                      <w:rFonts w:ascii="仿宋_GB2312" w:hAnsi="仿宋_GB2312" w:cs="仿宋_GB2312" w:eastAsia="仿宋_GB2312"/>
                      <w:sz w:val="28"/>
                      <w:color w:val="000000"/>
                    </w:rPr>
                    <w:t>- 轨道防脱轨限位装置</w:t>
                  </w:r>
                </w:p>
                <w:p>
                  <w:pPr>
                    <w:pStyle w:val="null3"/>
                  </w:pPr>
                  <w:r>
                    <w:rPr>
                      <w:rFonts w:ascii="仿宋_GB2312" w:hAnsi="仿宋_GB2312" w:cs="仿宋_GB2312" w:eastAsia="仿宋_GB2312"/>
                      <w:sz w:val="19"/>
                      <w:b/>
                    </w:rPr>
                    <w:t xml:space="preserve"> </w:t>
                  </w:r>
                </w:p>
                <w:p>
                  <w:pPr>
                    <w:pStyle w:val="null3"/>
                  </w:pPr>
                  <w:r>
                    <w:rPr>
                      <w:rFonts w:ascii="仿宋_GB2312" w:hAnsi="仿宋_GB2312" w:cs="仿宋_GB2312" w:eastAsia="仿宋_GB2312"/>
                      <w:sz w:val="28"/>
                      <w:b/>
                    </w:rPr>
                    <w:t>（</w:t>
                  </w:r>
                  <w:r>
                    <w:rPr>
                      <w:rFonts w:ascii="仿宋_GB2312" w:hAnsi="仿宋_GB2312" w:cs="仿宋_GB2312" w:eastAsia="仿宋_GB2312"/>
                      <w:sz w:val="28"/>
                      <w:b/>
                    </w:rPr>
                    <w:t>4</w:t>
                  </w:r>
                  <w:r>
                    <w:rPr>
                      <w:rFonts w:ascii="仿宋_GB2312" w:hAnsi="仿宋_GB2312" w:cs="仿宋_GB2312" w:eastAsia="仿宋_GB2312"/>
                      <w:sz w:val="28"/>
                      <w:b/>
                    </w:rPr>
                    <w:t>）、传动与操控</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8"/>
                      <w:color w:val="000000"/>
                    </w:rPr>
                    <w:t>1. 传动方式：链条传动+减速箱，扭矩大、爬坡强</w:t>
                  </w:r>
                </w:p>
                <w:p>
                  <w:pPr>
                    <w:pStyle w:val="null3"/>
                    <w:jc w:val="left"/>
                  </w:pPr>
                  <w:r>
                    <w:rPr>
                      <w:rFonts w:ascii="仿宋_GB2312" w:hAnsi="仿宋_GB2312" w:cs="仿宋_GB2312" w:eastAsia="仿宋_GB2312"/>
                      <w:sz w:val="28"/>
                      <w:color w:val="000000"/>
                    </w:rPr>
                    <w:t>2. 操控方式：手推随车操控，操作简单</w:t>
                  </w:r>
                </w:p>
                <w:p>
                  <w:pPr>
                    <w:pStyle w:val="null3"/>
                    <w:jc w:val="left"/>
                  </w:pPr>
                  <w:r>
                    <w:rPr>
                      <w:rFonts w:ascii="仿宋_GB2312" w:hAnsi="仿宋_GB2312" w:cs="仿宋_GB2312" w:eastAsia="仿宋_GB2312"/>
                      <w:sz w:val="28"/>
                      <w:color w:val="000000"/>
                    </w:rPr>
                    <w:t>3. 离合方式：手动离心离合/手柄离合</w:t>
                  </w:r>
                </w:p>
                <w:p>
                  <w:pPr>
                    <w:pStyle w:val="null3"/>
                    <w:jc w:val="left"/>
                  </w:pPr>
                  <w:r>
                    <w:rPr>
                      <w:rFonts w:ascii="仿宋_GB2312" w:hAnsi="仿宋_GB2312" w:cs="仿宋_GB2312" w:eastAsia="仿宋_GB2312"/>
                      <w:sz w:val="21"/>
                      <w:color w:val="000000"/>
                    </w:rPr>
                    <w:t xml:space="preserve"> 4</w:t>
                  </w:r>
                  <w:r>
                    <w:rPr>
                      <w:rFonts w:ascii="仿宋_GB2312" w:hAnsi="仿宋_GB2312" w:cs="仿宋_GB2312" w:eastAsia="仿宋_GB2312"/>
                      <w:sz w:val="28"/>
                      <w:color w:val="000000"/>
                    </w:rPr>
                    <w:t>. 行走轮：耐磨工程塑料轮或铸铁包胶轮，不伤轨道，运行静音</w:t>
                  </w:r>
                </w:p>
                <w:p>
                  <w:pPr>
                    <w:pStyle w:val="null3"/>
                    <w:jc w:val="left"/>
                  </w:pPr>
                  <w:r>
                    <w:rPr>
                      <w:rFonts w:ascii="仿宋_GB2312" w:hAnsi="仿宋_GB2312" w:cs="仿宋_GB2312" w:eastAsia="仿宋_GB2312"/>
                      <w:sz w:val="28"/>
                      <w:color w:val="000000"/>
                    </w:rPr>
                    <w:t>5. 爬坡能力：≥45°（茶园常用坡度）</w:t>
                  </w:r>
                </w:p>
                <w:p>
                  <w:pPr>
                    <w:pStyle w:val="null3"/>
                    <w:jc w:val="left"/>
                  </w:pPr>
                  <w:r>
                    <w:rPr>
                      <w:rFonts w:ascii="仿宋_GB2312" w:hAnsi="仿宋_GB2312" w:cs="仿宋_GB2312" w:eastAsia="仿宋_GB2312"/>
                      <w:sz w:val="28"/>
                      <w:color w:val="000000"/>
                    </w:rPr>
                    <w:t>6. 行驶速度：</w:t>
                  </w:r>
                </w:p>
                <w:p>
                  <w:pPr>
                    <w:pStyle w:val="null3"/>
                    <w:jc w:val="left"/>
                  </w:pPr>
                  <w:r>
                    <w:rPr>
                      <w:rFonts w:ascii="仿宋_GB2312" w:hAnsi="仿宋_GB2312" w:cs="仿宋_GB2312" w:eastAsia="仿宋_GB2312"/>
                      <w:sz w:val="28"/>
                      <w:color w:val="000000"/>
                    </w:rPr>
                    <w:t>- 空载：0～1.2m/s 可调</w:t>
                  </w:r>
                </w:p>
                <w:p>
                  <w:pPr>
                    <w:pStyle w:val="null3"/>
                    <w:jc w:val="left"/>
                  </w:pPr>
                  <w:r>
                    <w:rPr>
                      <w:rFonts w:ascii="仿宋_GB2312" w:hAnsi="仿宋_GB2312" w:cs="仿宋_GB2312" w:eastAsia="仿宋_GB2312"/>
                      <w:sz w:val="28"/>
                      <w:color w:val="000000"/>
                    </w:rPr>
                    <w:t>- 满载：0～0.8m/s 可调</w:t>
                  </w:r>
                </w:p>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8"/>
                      <w:b/>
                    </w:rPr>
                    <w:t>（</w:t>
                  </w:r>
                  <w:r>
                    <w:rPr>
                      <w:rFonts w:ascii="仿宋_GB2312" w:hAnsi="仿宋_GB2312" w:cs="仿宋_GB2312" w:eastAsia="仿宋_GB2312"/>
                      <w:sz w:val="28"/>
                      <w:b/>
                    </w:rPr>
                    <w:t>5</w:t>
                  </w:r>
                  <w:r>
                    <w:rPr>
                      <w:rFonts w:ascii="仿宋_GB2312" w:hAnsi="仿宋_GB2312" w:cs="仿宋_GB2312" w:eastAsia="仿宋_GB2312"/>
                      <w:sz w:val="28"/>
                      <w:b/>
                    </w:rPr>
                    <w:t>）、使用环境与可靠性</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8"/>
                      <w:color w:val="000000"/>
                    </w:rPr>
                    <w:t>1. 工作环境温度：-5℃～45℃</w:t>
                  </w:r>
                </w:p>
                <w:p>
                  <w:pPr>
                    <w:pStyle w:val="null3"/>
                    <w:jc w:val="left"/>
                  </w:pPr>
                  <w:r>
                    <w:rPr>
                      <w:rFonts w:ascii="仿宋_GB2312" w:hAnsi="仿宋_GB2312" w:cs="仿宋_GB2312" w:eastAsia="仿宋_GB2312"/>
                      <w:sz w:val="28"/>
                      <w:color w:val="000000"/>
                    </w:rPr>
                    <w:t>2. 适用工况：露天茶园、雨雾潮湿环境</w:t>
                  </w:r>
                </w:p>
                <w:p>
                  <w:pPr>
                    <w:pStyle w:val="null3"/>
                    <w:jc w:val="left"/>
                  </w:pPr>
                  <w:r>
                    <w:rPr>
                      <w:rFonts w:ascii="仿宋_GB2312" w:hAnsi="仿宋_GB2312" w:cs="仿宋_GB2312" w:eastAsia="仿宋_GB2312"/>
                      <w:sz w:val="28"/>
                      <w:color w:val="000000"/>
                    </w:rPr>
                    <w:t>3. 整机防锈：车架喷塑/烤漆处理，关键部件防锈</w:t>
                  </w:r>
                </w:p>
                <w:p>
                  <w:pPr>
                    <w:pStyle w:val="null3"/>
                    <w:jc w:val="left"/>
                  </w:pPr>
                  <w:r>
                    <w:rPr>
                      <w:rFonts w:ascii="仿宋_GB2312" w:hAnsi="仿宋_GB2312" w:cs="仿宋_GB2312" w:eastAsia="仿宋_GB2312"/>
                      <w:sz w:val="28"/>
                      <w:color w:val="000000"/>
                    </w:rPr>
                    <w:t>4. 连续工作稳定性：满载连续运行不熄火、不跑偏、无异响</w:t>
                  </w:r>
                </w:p>
                <w:p>
                  <w:pPr>
                    <w:pStyle w:val="null3"/>
                    <w:jc w:val="left"/>
                  </w:pPr>
                  <w:r>
                    <w:rPr>
                      <w:rFonts w:ascii="仿宋_GB2312" w:hAnsi="仿宋_GB2312" w:cs="仿宋_GB2312" w:eastAsia="仿宋_GB2312"/>
                      <w:sz w:val="28"/>
                      <w:color w:val="000000"/>
                    </w:rPr>
                    <w:t>5. 易维护性：空滤、火花塞、链条等易损件通用，更换方便</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 xml:space="preserve"> </w:t>
                  </w:r>
                </w:p>
                <w:p>
                  <w:pPr>
                    <w:pStyle w:val="null3"/>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轨道</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3100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color w:val="000000"/>
                    </w:rPr>
                    <w:t>米</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1）轨道</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8"/>
                      <w:color w:val="000000"/>
                    </w:rPr>
                    <w:t>1. 适用轨距：1000mm（可按用户现场定制）</w:t>
                  </w:r>
                </w:p>
                <w:p>
                  <w:pPr>
                    <w:pStyle w:val="null3"/>
                    <w:jc w:val="left"/>
                  </w:pPr>
                  <w:r>
                    <w:rPr>
                      <w:rFonts w:ascii="仿宋_GB2312" w:hAnsi="仿宋_GB2312" w:cs="仿宋_GB2312" w:eastAsia="仿宋_GB2312"/>
                      <w:sz w:val="28"/>
                      <w:color w:val="000000"/>
                    </w:rPr>
                    <w:t>2. 轨道规格：Q235碳素结构钢轨道， 50*50*2.5（MM）</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2）、支撑与固定系统</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 支撑立柱采用热镀锌圆管，管径≥25mm，壁厚≥2.2mm，立柱底部设可调地脚，调节高度≥30mm，可适配不同地面平整度，保证轨道整体水平。</w:t>
                  </w:r>
                </w:p>
                <w:p>
                  <w:pPr>
                    <w:pStyle w:val="null3"/>
                    <w:jc w:val="left"/>
                  </w:pPr>
                  <w:r>
                    <w:rPr>
                      <w:rFonts w:ascii="仿宋_GB2312" w:hAnsi="仿宋_GB2312" w:cs="仿宋_GB2312" w:eastAsia="仿宋_GB2312"/>
                      <w:sz w:val="28"/>
                      <w:color w:val="000000"/>
                    </w:rPr>
                    <w:t>2. 横梁、斜撑构件与轨道主体材质一致，连接采用镀锌螺栓、螺母固定，紧固件均经过防锈处理，安装牢固，整体框架承重≥100kg/m，运行时无变形、无倾斜。</w:t>
                  </w:r>
                </w:p>
                <w:p>
                  <w:pPr>
                    <w:pStyle w:val="null3"/>
                    <w:jc w:val="left"/>
                  </w:pPr>
                  <w:r>
                    <w:rPr>
                      <w:rFonts w:ascii="仿宋_GB2312" w:hAnsi="仿宋_GB2312" w:cs="仿宋_GB2312" w:eastAsia="仿宋_GB2312"/>
                      <w:sz w:val="28"/>
                      <w:color w:val="000000"/>
                    </w:rPr>
                    <w:t>3. 轨道安装间距均匀，支撑点间距≤1500mm，确保轨道长期使用不下垂、不变形，使用寿命≥8年。</w:t>
                  </w:r>
                </w:p>
                <w:p>
                  <w:pPr>
                    <w:pStyle w:val="null3"/>
                    <w:ind w:left="75"/>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项目验收通过后，乙方出具全额增值税发票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资料要求：提供产品合格证、质检报告、非道路机械排放认证（动力型）、安装说明书。 2. 安装调试：供方负责上门安装、调试，免费培训操作人员，确保熟练掌握使用及维护方法。 3、中标人应提供合同货物验收中发现合同货物达不到样品验收标准或合同规定的性能指标，中标人必须更换合同货物，并负担由此给采购人造成的损失，直到验收合格为止。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整车质保≥1年，轨道系统质保≥2年，质保期内非人为损坏免费维修、更换。保修期内免费维修。保修期满后，中标人仍提供维修服务，以成本价收取维修费用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采购标的的专用工具、备品备件、安装调试及配套工程、质量保证等要求； （1）专用工具：提供货物组装和维修所需的专用工具（如有）。 （2）备品备件：设备运行中所涉及的备品备件（如有），投标人应提供完整的清单，明确规格产地。 （3）安装调试及配套工程：根据采购人要求安装调试合格且具备使用条件。 （4）质量保证：所供商品交付使用时，乙方必须向甲方提供质量保证书等必须具备的相关资料和必备的产品附件。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 投标文件封面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 供应商认为需要提供的其他内容.pdf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 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开标一览表 业绩.docx 培训方案.docx 中小企业声明函 质量保证措施方案.docx 商务应答表 安装调试方案.docx 产品技术参数表 投标函 售后服务.docx 残疾人福利性单位声明函 安全方案.docx 供应商应提交的相关资格证明材料.pdf 标的清单 投标文件封面 实施方案.docx 供应商认为需要提供的其他内容.pdf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供应商认为需要提供的其他内容.pdf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针对本项目有具体实施方案，①总体实施方案；②计划进度安排；③项目团队配备；根据内容的完整性、针对性、合理性每项最高计3分，共9分，未提供不得分。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产品技术</w:t>
            </w:r>
          </w:p>
        </w:tc>
        <w:tc>
          <w:tcPr>
            <w:tcW w:type="dxa" w:w="2492"/>
          </w:tcPr>
          <w:p>
            <w:pPr>
              <w:pStyle w:val="null3"/>
            </w:pPr>
            <w:r>
              <w:rPr>
                <w:rFonts w:ascii="仿宋_GB2312" w:hAnsi="仿宋_GB2312" w:cs="仿宋_GB2312" w:eastAsia="仿宋_GB2312"/>
              </w:rPr>
              <w:t>评审内容 满足招标文件要求的全部技术参数得20分,有一项负偏离的扣1分，扣完为止。 注：需提供参数对应证明材料，包括但不限于检测报告或宣传彩页或产品说明书等，否则不得分。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安全方案</w:t>
            </w:r>
          </w:p>
        </w:tc>
        <w:tc>
          <w:tcPr>
            <w:tcW w:type="dxa" w:w="2492"/>
          </w:tcPr>
          <w:p>
            <w:pPr>
              <w:pStyle w:val="null3"/>
            </w:pPr>
            <w:r>
              <w:rPr>
                <w:rFonts w:ascii="仿宋_GB2312" w:hAnsi="仿宋_GB2312" w:cs="仿宋_GB2312" w:eastAsia="仿宋_GB2312"/>
              </w:rPr>
              <w:t>一、评审内容：供应商针对本项目编制完整的安全方案，内容包含但不限于：①安全管理制度； ②安全安装调试措施； ③安全应急预案。 二、评审标准： 1、完整性：方案必须全面，对评审内容中的各项要求有详细描述； 2、可实施性：切合本项目实际情况，提出步骤清晰、合理的方案； 3、针对性：方案能够紧扣项目实际情况，内容科学合理。 三、赋分标准（满分9分） ①安全管理制度：每完全满足一个评审标准得1分，满分3分； ②安全安装调试措施：每完全满足一个评审标准得1分，满分3分； ③安全应急预案：每完全满足一个评审标准得1分，满分3分；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安全方案.docx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①确保质量的技术组织措施：每完全满足一个评审标准得1分，满分3分； ②安装、配套工程整体质量控制措施：每完全满足一个评审标准得1分，满分3分；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质量保证措施方案.docx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一、评审内容：供应商针对本项目编制完善的安装调试方案，内容包含但不限于：①技术准备与资源配置；②安装工艺及方案；③调试流程方案。 二、评审标准： 1、完整性：方案必须全面，对评审内容中的各项要求有详细描述； 2、可实施性：切合本项目实际情况，提出步骤清晰、合理的方案； 3、针对性：方案能够紧扣项目实际情况，内容科学合理。 三、赋分标准（满分9分）： ①技术准备与资源配置：每完全满足一个评审标准得1分，满分3分； ②安装工艺及方案：每完全满足一个评审标准得1分，满分3分； ③调试流程方案：每完全满足一个评审标准得1分，满分3分；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安装调试方案.docx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一、评审内容：供应商针对本项目编制完善的售后方案，内容包含但不限于：①售后服务承诺；②备品备件及专用耗材保障；③质保期间的响应保障；④售后服务网点。 二、评审标准： 1、完整性：方案必须全面，对评审内容中的各项要求有详细描述； 2、可实施性：切合本项目实际情况，提出步骤清晰、合理的方案； 3、针对性：方案能够紧扣项目实际情况，内容科学合理。 三、赋分标准（满分6分）： ①售后服务承诺：每完全满足一个评审标准得0.5分，满分1.5分； ②备品备件及专用耗材保障：每完全满足一个评审标准得0.5分，满分1.5分； ③质保期间的响应保障：每完全满足一个评审标准得0.5分，满分1.5分； ④售后服务网点：每完全满足一个评审标准得0.5分，满分1.5分； ⑤未提供者不得分。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一、评审内容：供应商针对本项目编制完善的培训方案，内容包含但不限于：①培训目标、内容；②培训方式、周期。 二、评审标准： 1、完整性：方案必须全面，对评审内容中的各项要求有详细描述； 2、可实施性：切合本项目实际情况，提出步骤清晰、合理的方案； 3、针对性：方案能够紧扣项目实际情况，内容科学合理。 三、赋分标准（满分6分）： ①培训目标、内容：每完全满足一个评审标准得1分，满分3分； ②培训方式、周期：每完全满足一个评审标准得1分，满分3分；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培训方案.docx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提供供应商2023年1月1日至今类似项目合同（以合同签订日期为准），每提供1个得2.5分，最高得5分。备注：响应文件中提供合同复印件（包含关键页，双方盖章页）。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计算方法:1.投标报价小于或等于本招标项目最高投标限价的为有效投标报价。2.评标基准价为所有合格投标人有效投标报价的算术平均值，投标报价低于最高投标限价8%时，将不参与评标基准价计算。偏差率计算公式:偏差率=100%X(投标人评标价格一评标基准价)/评标基准价评分标准: 评标价格与评标基准价相比，等于评标基准价得满分，每高1%扣2分，每低1%扣1分，不足1%按差值比例计算扣减，扣完为止。注:计算得分四舍五入，保留小数点后两位。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详见附件：质量保证措施方案.docx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详见附件：安全方案.docx</w:t>
      </w:r>
    </w:p>
    <w:p>
      <w:pPr>
        <w:pStyle w:val="null3"/>
        <w:ind w:firstLine="960"/>
      </w:pPr>
      <w:r>
        <w:rPr>
          <w:rFonts w:ascii="仿宋_GB2312" w:hAnsi="仿宋_GB2312" w:cs="仿宋_GB2312" w:eastAsia="仿宋_GB2312"/>
        </w:rPr>
        <w:t>详见附件：安装调试方案.docx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详见附件：政府采购合同-货物（试行）.docx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