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版本号：KCHZZB-2026-001420260420002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2026年镇巴县盐场镇天井社区农田灌溉建设项目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KCHZZB-2026-0014</w:t>
      </w:r>
      <w:r>
        <w:br/>
      </w:r>
      <w:r>
        <w:br/>
      </w:r>
      <w:r>
        <w:br/>
      </w:r>
    </w:p>
    <w:p>
      <w:pPr>
        <w:pStyle w:val="null3"/>
        <w:jc w:val="center"/>
        <w:outlineLvl w:val="2"/>
      </w:pPr>
      <w:r>
        <w:rPr>
          <w:rFonts w:ascii="仿宋_GB2312" w:hAnsi="仿宋_GB2312" w:cs="仿宋_GB2312" w:eastAsia="仿宋_GB2312"/>
          <w:sz w:val="28"/>
          <w:b/>
        </w:rPr>
        <w:t>镇巴县盐场镇人民政府</w:t>
      </w:r>
    </w:p>
    <w:p>
      <w:pPr>
        <w:pStyle w:val="null3"/>
        <w:jc w:val="center"/>
        <w:outlineLvl w:val="2"/>
      </w:pPr>
      <w:r>
        <w:rPr>
          <w:rFonts w:ascii="仿宋_GB2312" w:hAnsi="仿宋_GB2312" w:cs="仿宋_GB2312" w:eastAsia="仿宋_GB2312"/>
          <w:sz w:val="28"/>
          <w:b/>
        </w:rPr>
        <w:t>康诚建设有限公司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康诚建设有限公司</w:t>
      </w:r>
      <w:r>
        <w:rPr>
          <w:rFonts w:ascii="仿宋_GB2312" w:hAnsi="仿宋_GB2312" w:cs="仿宋_GB2312" w:eastAsia="仿宋_GB2312"/>
        </w:rPr>
        <w:t>（以下简称“代理机构”）受</w:t>
      </w:r>
      <w:r>
        <w:rPr>
          <w:rFonts w:ascii="仿宋_GB2312" w:hAnsi="仿宋_GB2312" w:cs="仿宋_GB2312" w:eastAsia="仿宋_GB2312"/>
        </w:rPr>
        <w:t>镇巴县盐场镇人民政府</w:t>
      </w:r>
      <w:r>
        <w:rPr>
          <w:rFonts w:ascii="仿宋_GB2312" w:hAnsi="仿宋_GB2312" w:cs="仿宋_GB2312" w:eastAsia="仿宋_GB2312"/>
        </w:rPr>
        <w:t>委托，拟对</w:t>
      </w:r>
      <w:r>
        <w:rPr>
          <w:rFonts w:ascii="仿宋_GB2312" w:hAnsi="仿宋_GB2312" w:cs="仿宋_GB2312" w:eastAsia="仿宋_GB2312"/>
        </w:rPr>
        <w:t>2026年镇巴县盐场镇天井社区农田灌溉建设项目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KCHZZB-2026-0014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2026年镇巴县盐场镇天井社区农田灌溉建设项目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镇巴县盐场镇天井社区农田灌溉工程工程，该项目位于镇巴县盐场镇境内，建设内容为水源工程、引水渠道工程、沉砂池工程、管灌工程等组成。其中：新建拦水坝1个、5立方沉砂池1座、排沙孔1个、DN250PE管1200米。主要工程量：PE管1200m，混凝土109m³，浆砌石95.00m³，模板工程558.52m，土石方开挖679.19m³，土方回填504.35m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采购包1（2026年镇巴县盐场镇天井社区农田灌溉建设项目）：属于专门面向中小企业采购。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p>
      <w:pPr>
        <w:pStyle w:val="null3"/>
      </w:pPr>
      <w:r>
        <w:rPr>
          <w:rFonts w:ascii="仿宋_GB2312" w:hAnsi="仿宋_GB2312" w:cs="仿宋_GB2312" w:eastAsia="仿宋_GB2312"/>
        </w:rPr>
        <w:t>4、供应商资质：供应商具有行政主管部门核发的水利水电工程施工总承包三级（含三级）及以上资质，且具有有效的安全生产许可证，供应商需在项目电子化交易系统中按要求上传相应证明文件并进行电子签章；</w:t>
      </w:r>
    </w:p>
    <w:p>
      <w:pPr>
        <w:pStyle w:val="null3"/>
      </w:pPr>
      <w:r>
        <w:rPr>
          <w:rFonts w:ascii="仿宋_GB2312" w:hAnsi="仿宋_GB2312" w:cs="仿宋_GB2312" w:eastAsia="仿宋_GB2312"/>
        </w:rPr>
        <w:t>5、项目负责人：拟派项目经理须具备水利水电工程专业二级（含二级）以上注册建造师资格和安全生产考核合格B证，且无在建项目，供应商需在项目电子化交易系统中按要求上传相应证明文件并进行电子签章；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6、非联合体投标承诺函：本项目不接受联合体投标，单位负责人为同一人或者存在直接控股、管理关系的不同单位，不得同时参加本项目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镇巴县盐场镇人民政府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陕西省汉中市镇巴县盐场镇天井社区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镇巴县盐场镇人民政府经办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18591603766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康诚建设有限公司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陕西省汉中市汉台区东一环路中饮办公中心8楼820室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康诚建设有限公司经办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0916-8888075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采购包1：613,399.09元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开户名称：康诚建设有限公司汉中分公司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镇巴县盐场镇人民政府</w:t>
      </w:r>
      <w:r>
        <w:rPr>
          <w:rFonts w:ascii="仿宋_GB2312" w:hAnsi="仿宋_GB2312" w:cs="仿宋_GB2312" w:eastAsia="仿宋_GB2312"/>
        </w:rPr>
        <w:t>和</w:t>
      </w:r>
      <w:r>
        <w:rPr>
          <w:rFonts w:ascii="仿宋_GB2312" w:hAnsi="仿宋_GB2312" w:cs="仿宋_GB2312" w:eastAsia="仿宋_GB2312"/>
        </w:rPr>
        <w:t>康诚建设有限公司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镇巴县盐场镇人民政府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康诚建设有限公司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镇巴县盐场镇人民政府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康诚建设有限公司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符合国家相关法律法规规定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镇巴县盐场镇人民政府</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康诚建设有限公司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康诚建设有限公司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联系人：康诚建设有限公司经办</w:t>
      </w:r>
    </w:p>
    <w:p>
      <w:pPr>
        <w:pStyle w:val="null3"/>
      </w:pPr>
      <w:r>
        <w:rPr>
          <w:rFonts w:ascii="仿宋_GB2312" w:hAnsi="仿宋_GB2312" w:cs="仿宋_GB2312" w:eastAsia="仿宋_GB2312"/>
        </w:rPr>
        <w:t>联系电话：0916-8888075</w:t>
      </w:r>
    </w:p>
    <w:p>
      <w:pPr>
        <w:pStyle w:val="null3"/>
      </w:pPr>
      <w:r>
        <w:rPr>
          <w:rFonts w:ascii="仿宋_GB2312" w:hAnsi="仿宋_GB2312" w:cs="仿宋_GB2312" w:eastAsia="仿宋_GB2312"/>
        </w:rPr>
        <w:t>地址：陕西省汉中市汉台区东一环路中饮办公中心8楼820室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613,399.09</w:t>
      </w:r>
    </w:p>
    <w:p>
      <w:pPr>
        <w:pStyle w:val="null3"/>
      </w:pPr>
      <w:r>
        <w:rPr>
          <w:rFonts w:ascii="仿宋_GB2312" w:hAnsi="仿宋_GB2312" w:cs="仿宋_GB2312" w:eastAsia="仿宋_GB2312"/>
        </w:rPr>
        <w:t>采购包最高限价（元）: 613,399.09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2026年镇巴县盐场镇天井社区农田灌溉建设项目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613,399.09</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标的名称：2026年镇巴县盐场镇天井社区农田灌溉建设项目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 xml:space="preserve">    2026年镇巴县盐场镇天井社区农田灌溉建设项目建设内容为水源工程、引水渠道工程、沉砂池工程、管灌工程等组成。其中：新建拦水坝1个、5立方沉砂池1座、排沙孔1个、DN250PE管1200米。主要工程量：PE管1200m，混凝土109m³，浆砌石95.00m³，模板工程558.52m，土石方开挖679.19m³，土方回填504.35m³。</w:t>
            </w:r>
          </w:p>
          <w:p>
            <w:pPr>
              <w:pStyle w:val="null3"/>
            </w:pPr>
            <w:r>
              <w:rPr>
                <w:rFonts w:ascii="仿宋_GB2312" w:hAnsi="仿宋_GB2312" w:cs="仿宋_GB2312" w:eastAsia="仿宋_GB2312"/>
              </w:rPr>
              <w:t>二、</w:t>
            </w:r>
            <w:r>
              <w:rPr>
                <w:rFonts w:ascii="仿宋_GB2312" w:hAnsi="仿宋_GB2312" w:cs="仿宋_GB2312" w:eastAsia="仿宋_GB2312"/>
              </w:rPr>
              <w:t>编制依据:</w:t>
            </w:r>
          </w:p>
          <w:p>
            <w:pPr>
              <w:pStyle w:val="null3"/>
            </w:pPr>
            <w:r>
              <w:rPr>
                <w:rFonts w:ascii="仿宋_GB2312" w:hAnsi="仿宋_GB2312" w:cs="仿宋_GB2312" w:eastAsia="仿宋_GB2312"/>
              </w:rPr>
              <w:t xml:space="preserve">    1.《陕西省政府投资管理办法》陕西省人民政府令(第226号)2、依据陕西省发展和改革委员会陕发改项目[2017]1606号文及陕西省水利厅以陕水规计发[2019]66号文颁发的2017计价编规(《陕西省水利工程设计概(估)算编制规定》、《陕西省水利建筑工程概算定额》、《陕西省水利设备安装工程概算定额》、《陕西省水利建筑工程预算定额》《陕西省水利设备安装工程预算定额》、《陕西省水利工程施工机械台班费定额》)进行编制，并执行陕发改投资[2016]1303号关于《陕西省水利水电工程营业税改增值税计价依据调整办法》文件规定;</w:t>
            </w:r>
          </w:p>
          <w:p>
            <w:pPr>
              <w:pStyle w:val="null3"/>
            </w:pPr>
            <w:r>
              <w:rPr>
                <w:rFonts w:ascii="仿宋_GB2312" w:hAnsi="仿宋_GB2312" w:cs="仿宋_GB2312" w:eastAsia="仿宋_GB2312"/>
              </w:rPr>
              <w:t xml:space="preserve">    3、依据信息价、设计图纸等相关资料。</w:t>
            </w:r>
          </w:p>
          <w:p>
            <w:pPr>
              <w:pStyle w:val="null3"/>
            </w:pPr>
            <w:r>
              <w:rPr>
                <w:rFonts w:ascii="仿宋_GB2312" w:hAnsi="仿宋_GB2312" w:cs="仿宋_GB2312" w:eastAsia="仿宋_GB2312"/>
              </w:rPr>
              <w:t>三、</w:t>
            </w:r>
            <w:r>
              <w:rPr>
                <w:rFonts w:ascii="仿宋_GB2312" w:hAnsi="仿宋_GB2312" w:cs="仿宋_GB2312" w:eastAsia="仿宋_GB2312"/>
              </w:rPr>
              <w:t>编制说明</w:t>
            </w:r>
          </w:p>
          <w:p>
            <w:pPr>
              <w:pStyle w:val="null3"/>
            </w:pPr>
            <w:r>
              <w:rPr>
                <w:rFonts w:ascii="仿宋_GB2312" w:hAnsi="仿宋_GB2312" w:cs="仿宋_GB2312" w:eastAsia="仿宋_GB2312"/>
              </w:rPr>
              <w:t xml:space="preserve">    1.建设内容：主要建设内容：新建拦水坝1个、5立方沉砂池1座、排沙孔1个、DN250PE管1200米。主要工程量：PE管1200m，混凝土109m³，浆砌石95.00m³，模板工程558.52m，土石方开挖679.19m³，土方回填504.35m³。</w:t>
            </w:r>
          </w:p>
          <w:p>
            <w:pPr>
              <w:pStyle w:val="null3"/>
            </w:pPr>
            <w:r>
              <w:rPr>
                <w:rFonts w:ascii="仿宋_GB2312" w:hAnsi="仿宋_GB2312" w:cs="仿宋_GB2312" w:eastAsia="仿宋_GB2312"/>
              </w:rPr>
              <w:t xml:space="preserve">    2.编制依据：2026年镇巴县盐场镇天井社区农田灌溉建设工程设计图纸。</w:t>
            </w:r>
          </w:p>
          <w:p>
            <w:pPr>
              <w:pStyle w:val="null3"/>
            </w:pPr>
            <w:r>
              <w:rPr>
                <w:rFonts w:ascii="仿宋_GB2312" w:hAnsi="仿宋_GB2312" w:cs="仿宋_GB2312" w:eastAsia="仿宋_GB2312"/>
              </w:rPr>
              <w:t xml:space="preserve">    3.材料价参考汉中市《汉中建设工程造价信息》2026年2期。</w:t>
            </w:r>
          </w:p>
          <w:p>
            <w:pPr>
              <w:pStyle w:val="null3"/>
            </w:pPr>
            <w:r>
              <w:rPr>
                <w:rFonts w:ascii="仿宋_GB2312" w:hAnsi="仿宋_GB2312" w:cs="仿宋_GB2312" w:eastAsia="仿宋_GB2312"/>
              </w:rPr>
              <w:t xml:space="preserve">    4、编制软件：天宇e算造价软件2024修正版。</w:t>
            </w:r>
          </w:p>
          <w:p>
            <w:pPr>
              <w:pStyle w:val="null3"/>
            </w:pPr>
            <w:r>
              <w:rPr>
                <w:rFonts w:ascii="仿宋_GB2312" w:hAnsi="仿宋_GB2312" w:cs="仿宋_GB2312" w:eastAsia="仿宋_GB2312"/>
              </w:rPr>
              <w:t>5、相关说明：本项目设置其他临时工程费2%，设置基本预备费2%。</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工期：210日历天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备健全的财务会计制度、履行合同所需的设备和专业技术能力、依法缴纳税收和社会保障资金，以及参加本项目采购活动前3年内经营活动无重大违法记录:供应商未被列入“信用中国”网站(http://mw.creditchina.gov.cn)“失信被执行人”、“重大税收违法案件当事人名单”中，也未列入“中国政府采购网”(mm.ccgp.gov.cn)的“政府采购严重违法失信行为记录名单”；拟参与本项目投标响应的供应商应按照汉中市财政局《关于全面推行政府采购供应商基本资格条件承诺制的通知》(汉财办采管(2024)20号)文件要求，需提供《汉中市政府采购供应商资格承诺函》；</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供应商具有行政主管部门核发的水利水电工程施工总承包三级（含三级）及以上资质，且具有有效的安全生产许可证，供应商需在项目电子化交易系统中按要求上传相应证明文件并进行电子签章；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拟派项目经理须具备水利水电工程专业二级（含二级）以上注册建造师资格和安全生产考核合格B证，且无在建项目，供应商需在项目电子化交易系统中按要求上传相应证明文件并进行电子签章；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非联合体投标承诺函</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本项目不接受联合体投标，单位负责人为同一人或者存在直接控股、管理关系的不同单位，不得同时参加本项目投标，供应商需在项目电子化交易系统中按要求上传相应证明文件并进行电子签章；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具体按照财政部《 关于推动解决政府采购异常低价问题的通知》 （财库[2026]2号）文件执行。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技术响应方案.docx 残疾人福利性单位声明函 报价函 标的清单 供应商类似项目业绩一览表 供应商应提交的相关资格证明文件.docx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按照磋商文件要求提交保证金</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一、评审内容：供应商针对本项目编制完善的施工方案， 内容包含但不限于：①项目总体概况表述；② 施工方法（工艺）；③施工次序；④施工准备：技术准备、材料准备、机械准备、劳动力准备等； ⑤工程重难点及解决措施；二、评审标准：1、完整性：方案必须全面，对评审内容中的各项要求有详细描述；2、可实施性：切合本项目实际情况，提出步骤清晰、合理的方案；3、针对性：方案能够紧扣项目实际情况，内容科学合理。 三、赋分标准（满分15分，针对每条评审标准，如存在不合理的方面每处扣0.5分，扣完为止）： ①项目总体概况表述：每完全满足一个评审标准得1分，满分3分； ②施工方法（工艺）：每完全满足一个评审标准得1分，满分3分； ③施工次序：每完全满足一个评审标准得1分，满分3分；④施工准备：每完全满足一个评审标准得1分，满分3分；⑤工程重难点及解决措施：每完全满足一个评审标准得1分，满分3分；四、未提供者不得分。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施工进度计划及保障措施</w:t>
            </w:r>
          </w:p>
        </w:tc>
        <w:tc>
          <w:tcPr>
            <w:tcW w:type="dxa" w:w="2492"/>
          </w:tcPr>
          <w:p>
            <w:pPr>
              <w:pStyle w:val="null3"/>
            </w:pPr>
            <w:r>
              <w:rPr>
                <w:rFonts w:ascii="仿宋_GB2312" w:hAnsi="仿宋_GB2312" w:cs="仿宋_GB2312" w:eastAsia="仿宋_GB2312"/>
              </w:rPr>
              <w:t>一、评审内容：供应商针对本项目编制完善的施工进度计划，内容包含但不限于： ①施工进度目标及重要节点安排；②施工进度网络图或施工进度表；③进度计划保证措施；④遇汛期、高温、冬期等情况的工期保证措施。 二、评审标准 ：1 、完整性：方案必须全面，对评审内容中的各项要求有详细描述；2 、可实施性： 切合本项目实际情况，提出步骤清晰、合理的方案；3 、针对性：方案能够紧扣项目实际情况，内容科学合理。 三、赋分标准（满分12分，针对每条评审标准，如存在不合理的方面每处扣0.5分，扣完为止）： ①施工进度目标及重要节点安排：每完全满足一个评审标准得1分，满分3分； ②施工进度网络图或施工进度表 ：每完全满足一个评审标准得1分，满分3分； ③进度计划保证措施：每完全满足一个评审标准得1分，满分3分；④遇汛期、高温、冬期等情况的工期保证措施：每完全满足一个评审标准得1分，满分3分；四、未提供者不得分。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一、评审内容：供应商针对本项目编制完善的质量保证措施，内容包含但不限于：①质量管理工作流程；②工程质量保障方案；③工程质量控制体系；④各施工阶段质量管理措施。 二、评审标准 ：1、完整性：方案必须全面，对评审内容中的各项要求有详细描述； 2、可实施性：切合本项目实际情况，提出步骤清晰、合理的方案； 3、针对性：方案能够紧扣项目实际情况，内容科学合理。 三、赋分标准 （满分12分，针对每条评审标准，如存在不合理的方面每处扣0.5分，扣完为止）： ①质量管理工作流程：每完全满足一个评审标准得1分，满分3分； ②工程质量保障方案：每完全满足一个评审标准得1分，满分3分； ③施工质量控制措施：每完全满足一个评审标准得1 分，满分3分；④各施工阶段质量管理措施：每完全满足一个评审标准得1 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安全文明施工保障措施</w:t>
            </w:r>
          </w:p>
        </w:tc>
        <w:tc>
          <w:tcPr>
            <w:tcW w:type="dxa" w:w="2492"/>
          </w:tcPr>
          <w:p>
            <w:pPr>
              <w:pStyle w:val="null3"/>
            </w:pPr>
            <w:r>
              <w:rPr>
                <w:rFonts w:ascii="仿宋_GB2312" w:hAnsi="仿宋_GB2312" w:cs="仿宋_GB2312" w:eastAsia="仿宋_GB2312"/>
              </w:rPr>
              <w:t>一、评审内容：投标人针对本项目编制完善的安全文明施工保障措施，内容包含但不限于：①安全施工目标及施工现场的临时管理措施；②安全生产应急预案；③文明施工保证措施；④环境保护控制措施：污染物及废弃物处理的排放、噪音控制、防尘及扬尘的控制措施。二、评审标准：1 、完整性：方案必须全面，对评审内容中的各项要求有详细描述； 2、可实施性：切合本项目实际情况，提出步骤清晰、合理的方案； 3、针对性：方案能够紧扣项目实际情况，内容科学合理。 三、赋分标准（满分12分，针对每条评审标准，如存在不合理的方面每处扣0.5分，扣完为止）： ①安全施工目标及施工现场的临时管理措施：每完全满足一个评审标准得1分，满分3分； ②安全生产应急预案：每完全满足一个评审标准得1分 , 满分3分；③文明施工保证措施 ：每完全满足一个评审标准得1分 , 满分3分； ④环境保护控制措施：每完全满足一个评审标准得1分，满分3分；四、未提供者不得分。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供应商针对本项目编制完善的项目经理部组织机构，内容包含但不限于： ①项目成员配置清单及架构；项目组配备人员的专业素质、人员结构； ② 项目成员的主要职责及工作内容。 二、评审标准 ： 1 、完整性：方案必须全面，对评审内容中的各项要求有详细描述 ； 2 、可实施性：切合本项目实际情况，提出步骤清晰、合理的方案 ； 3 、针对性：方案能够紧扣项目实际情况，内容科学合理。 三、赋分标准（满分6分，针对每条评审标准，如存在不合理的方面每处扣0.5分，扣完为止） ①项目成员配置清单及架构；项目组配备人员的专业素质、人员结构：每完全满足一个评审标准得1分，满分3分； ②项目成员的主要职责及工作内容：每完全满足一个评审标准得1分，满分3分；四、未提供者不得分。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 ①劳动力资源配置计划； ②施工机械设备投入计划； ③主要施工材料供应计划。 二、评审标准： 1 、完整性：方案必须全面，对评审内容中的各项要求有详细描述； 2 、可实施性：切合本项目实际情况 , 提出步骤清晰、合理的方案； 3 、针对性：方案能够紧扣项目实际情况，内容科学合理。 三、赋分标准（满分9分，针对每条评审标准，如存在不合理的方面每处扣0.5分，扣完为止）：①劳动力资源配置计划：每完全满足一个评审标准得1分，满分3分； ②施工机械设备投入计划：每完全满足一个评审标准得1分，满分3分； ③主要施工材料供应计划：每完全满足一个评审标准得1分，满分3分；四、未提供者不得分。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1日（以签订合同时间为准）至今完成的类似项目业绩，每提供一个合格业绩得2分，满分4分。未提供此项内容不得分。注：业绩以中标或成交通知书、合同协议书为准，响应文件内附相关资料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