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版本号：SXJHZB-2026-0416-00120260422002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2026镇巴县三元镇白果坝村经济合作社冷水鱼养殖建设项目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SXJHZB-2026-0416-001</w:t>
      </w:r>
      <w:r>
        <w:br/>
      </w:r>
      <w:r>
        <w:br/>
      </w:r>
      <w:r>
        <w:br/>
      </w:r>
    </w:p>
    <w:p>
      <w:pPr>
        <w:pStyle w:val="null3"/>
        <w:jc w:val="center"/>
        <w:outlineLvl w:val="2"/>
      </w:pPr>
      <w:r>
        <w:rPr>
          <w:rFonts w:ascii="仿宋_GB2312" w:hAnsi="仿宋_GB2312" w:cs="仿宋_GB2312" w:eastAsia="仿宋_GB2312"/>
          <w:sz w:val="28"/>
          <w:b/>
        </w:rPr>
        <w:t>镇巴县三元镇人民政府</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镇巴县三元镇人民政府</w:t>
      </w:r>
      <w:r>
        <w:rPr>
          <w:rFonts w:ascii="仿宋_GB2312" w:hAnsi="仿宋_GB2312" w:cs="仿宋_GB2312" w:eastAsia="仿宋_GB2312"/>
        </w:rPr>
        <w:t>委托，拟对</w:t>
      </w:r>
      <w:r>
        <w:rPr>
          <w:rFonts w:ascii="仿宋_GB2312" w:hAnsi="仿宋_GB2312" w:cs="仿宋_GB2312" w:eastAsia="仿宋_GB2312"/>
        </w:rPr>
        <w:t>2026镇巴县三元镇白果坝村经济合作社冷水鱼养殖建设项目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SXJHZB-2026-0416-001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2026镇巴县三元镇白果坝村经济合作社冷水鱼养殖建设项目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1、工程建设地点及内容:新建设备用房（储存室）一栋，该建筑地上一层，建筑面积132.54平方米，结构类型为砖混结构，檐高3.15米，屋面采用钢檩条+岩棉夹芯板坡屋面； 2、储存室（二）一栋，该建筑地上一层，建筑面积77.5平方米，外墙±0.9米以下为砖砌墙体，以上为岩棉夹芯板墙，檐高3.15米，屋面采用钢檩条+岩棉夹芯板坡屋面； 3、新建养殖池、饮水前池、三级沉淀池、曝气池、生物滤池、净水池，总面积为1935平方米，均采用条形基础、240mm厚砖砌池壁； 4、拆除原有房屋1950平方米，土方开挖2800立方米，铺设DN200PE管约3000米，铺设DN200PVC管道2500米，新建安全护栏500米，硬化道路约350平方米，新建排水沟260米，铺设电缆235米。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采购包1（2026镇巴县三元镇白果坝村经济合作社冷水鱼养殖建设项目）：属于专门面向中小企业采购。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及拟派项目负责人资格：供应商须具有建设行政主管部门颁发的建筑工程施工总承包三级及以上资质，具有有效的安全生产许可证；拟派项目经理须具有建筑工程专业注册建造师二级及以上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4、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5、中小企业声明函：本项目专门面向中小企业采购，供应商应提供中小企业声明函，供应商需在项目电子化交易系统中按要求上传相应证明文件并进行电子签章；</w:t>
      </w:r>
    </w:p>
    <w:p>
      <w:pPr>
        <w:pStyle w:val="null3"/>
      </w:pPr>
      <w:r>
        <w:rPr>
          <w:rFonts w:ascii="仿宋_GB2312" w:hAnsi="仿宋_GB2312" w:cs="仿宋_GB2312" w:eastAsia="仿宋_GB2312"/>
        </w:rPr>
        <w:t>6、非联合体磋商承诺函：本项目不接受联合体磋商，单位负责人为同一人或者存在直接控股、管理关系的不同单位，不得同时参加本项目磋商，供应商需在项目电子化交易系统中按要求上传相应证明文件并进行电子签章；</w:t>
      </w:r>
    </w:p>
    <w:p>
      <w:pPr>
        <w:pStyle w:val="null3"/>
      </w:pPr>
      <w:r>
        <w:rPr>
          <w:rFonts w:ascii="仿宋_GB2312" w:hAnsi="仿宋_GB2312" w:cs="仿宋_GB2312" w:eastAsia="仿宋_GB2312"/>
        </w:rPr>
        <w:t>7、无拖欠证明：以供应商提供项目所在地人社部门出具的无拖欠农民工工资证明复印件，供应商需在项目电子化交易系统中按要求上传相应证明文件并进行电子签章；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镇巴县三元镇人民政府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三元镇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镇巴县三元镇人民政府经办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17792498349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15332521029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采购包1：2,578,480.72元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2、采购代理服务费的缴纳方式:在领取《成交通知书》前向采购代理机均一次性全额缴纳采购代理服务费。3、代理服务费的具体金额后续见本项目中标（成交）结果公告。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镇巴县三元镇人民政府</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镇巴县三元镇人民政府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镇巴县三元镇人民政府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联系电话：15332521029</w:t>
      </w:r>
    </w:p>
    <w:p>
      <w:pPr>
        <w:pStyle w:val="null3"/>
      </w:pPr>
      <w:r>
        <w:rPr>
          <w:rFonts w:ascii="仿宋_GB2312" w:hAnsi="仿宋_GB2312" w:cs="仿宋_GB2312" w:eastAsia="仿宋_GB2312"/>
        </w:rPr>
        <w:t>地址：汉中市镇巴县河西路粮食局五楼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2,578,480.72</w:t>
      </w:r>
    </w:p>
    <w:p>
      <w:pPr>
        <w:pStyle w:val="null3"/>
      </w:pPr>
      <w:r>
        <w:rPr>
          <w:rFonts w:ascii="仿宋_GB2312" w:hAnsi="仿宋_GB2312" w:cs="仿宋_GB2312" w:eastAsia="仿宋_GB2312"/>
        </w:rPr>
        <w:t>采购包最高限价（元）: 2,578,480.55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2026镇巴县三元镇白果坝村经济合作社冷水鱼养殖建设项目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2,578,480.72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标的名称：2026镇巴县三元镇白果坝村经济合作社冷水鱼养殖建设项目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960"/>
              <w:jc w:val="both"/>
            </w:pPr>
            <w:r>
              <w:rPr>
                <w:rFonts w:ascii="仿宋_GB2312" w:hAnsi="仿宋_GB2312" w:cs="仿宋_GB2312" w:eastAsia="仿宋_GB2312"/>
                <w:sz w:val="32"/>
              </w:rPr>
              <w:t>一、具体采购内容</w:t>
            </w:r>
          </w:p>
          <w:p>
            <w:pPr>
              <w:pStyle w:val="null3"/>
              <w:ind w:left="315" w:firstLine="640"/>
              <w:jc w:val="both"/>
            </w:pPr>
            <w:r>
              <w:rPr>
                <w:rFonts w:ascii="仿宋_GB2312" w:hAnsi="仿宋_GB2312" w:cs="仿宋_GB2312" w:eastAsia="仿宋_GB2312"/>
                <w:sz w:val="32"/>
              </w:rPr>
              <w:t>1、</w:t>
            </w:r>
            <w:r>
              <w:rPr>
                <w:rFonts w:ascii="仿宋_GB2312" w:hAnsi="仿宋_GB2312" w:cs="仿宋_GB2312" w:eastAsia="仿宋_GB2312"/>
                <w:sz w:val="32"/>
              </w:rPr>
              <w:t>工程建设地点及内容</w:t>
            </w:r>
            <w:r>
              <w:rPr>
                <w:rFonts w:ascii="仿宋_GB2312" w:hAnsi="仿宋_GB2312" w:cs="仿宋_GB2312" w:eastAsia="仿宋_GB2312"/>
                <w:sz w:val="32"/>
              </w:rPr>
              <w:t>:</w:t>
            </w:r>
            <w:r>
              <w:rPr>
                <w:rFonts w:ascii="仿宋_GB2312" w:hAnsi="仿宋_GB2312" w:cs="仿宋_GB2312" w:eastAsia="仿宋_GB2312"/>
                <w:sz w:val="32"/>
              </w:rPr>
              <w:t>新建设备用房（储存室）一栋，该建筑地上一层，建筑面积</w:t>
            </w:r>
            <w:r>
              <w:rPr>
                <w:rFonts w:ascii="仿宋_GB2312" w:hAnsi="仿宋_GB2312" w:cs="仿宋_GB2312" w:eastAsia="仿宋_GB2312"/>
                <w:sz w:val="32"/>
              </w:rPr>
              <w:t>132.54平方米，结构类型为砖混结构，檐高3.15米，屋面采用钢檩条+岩棉夹芯板坡屋面；</w:t>
            </w:r>
          </w:p>
          <w:p>
            <w:pPr>
              <w:pStyle w:val="null3"/>
              <w:ind w:firstLine="640"/>
              <w:jc w:val="both"/>
            </w:pPr>
            <w:r>
              <w:rPr>
                <w:rFonts w:ascii="仿宋_GB2312" w:hAnsi="仿宋_GB2312" w:cs="仿宋_GB2312" w:eastAsia="仿宋_GB2312"/>
                <w:sz w:val="32"/>
                <w:color w:val="333333"/>
              </w:rPr>
              <w:t>2、储存室（二）一栋，该建筑地上一层，建筑面积77.5平方米，外墙±0.9米以下为砖砌墙体，以上为岩棉夹芯板墙，檐高3.15米，屋面采用钢檩条+岩棉夹芯板坡屋面；</w:t>
            </w:r>
          </w:p>
          <w:p>
            <w:pPr>
              <w:pStyle w:val="null3"/>
              <w:ind w:firstLine="640"/>
              <w:jc w:val="both"/>
            </w:pPr>
            <w:r>
              <w:rPr>
                <w:rFonts w:ascii="仿宋_GB2312" w:hAnsi="仿宋_GB2312" w:cs="仿宋_GB2312" w:eastAsia="仿宋_GB2312"/>
                <w:sz w:val="32"/>
                <w:color w:val="333333"/>
              </w:rPr>
              <w:t>3、新建养殖池、饮水前池、三级沉淀池、曝气池、生物滤池、净水池，总面积为1935平方米，均采用条形基础、240mm厚砖砌池壁；</w:t>
            </w:r>
          </w:p>
          <w:p>
            <w:pPr>
              <w:pStyle w:val="null3"/>
              <w:ind w:firstLine="640"/>
              <w:jc w:val="both"/>
            </w:pPr>
            <w:r>
              <w:rPr>
                <w:rFonts w:ascii="仿宋_GB2312" w:hAnsi="仿宋_GB2312" w:cs="仿宋_GB2312" w:eastAsia="仿宋_GB2312"/>
                <w:sz w:val="32"/>
                <w:color w:val="333333"/>
              </w:rPr>
              <w:t>4、拆除原有房屋1950平方米，土方开挖2800立方米，铺设DN200PE管约3000米，铺设DN200PVC管道2500米，新建安全护栏500米，硬化道路约350平方米，新建排水沟260米，铺设电缆235米。</w:t>
            </w:r>
          </w:p>
          <w:p>
            <w:pPr>
              <w:pStyle w:val="null3"/>
              <w:ind w:firstLine="800"/>
              <w:jc w:val="both"/>
            </w:pPr>
            <w:r>
              <w:rPr>
                <w:rFonts w:ascii="仿宋_GB2312" w:hAnsi="仿宋_GB2312" w:cs="仿宋_GB2312" w:eastAsia="仿宋_GB2312"/>
                <w:sz w:val="32"/>
              </w:rPr>
              <w:t>二、技术标准要求（依照标准、参照标准）</w:t>
            </w:r>
          </w:p>
          <w:p>
            <w:pPr>
              <w:pStyle w:val="null3"/>
              <w:ind w:firstLine="646"/>
              <w:jc w:val="both"/>
            </w:pPr>
            <w:r>
              <w:rPr>
                <w:rFonts w:ascii="仿宋_GB2312" w:hAnsi="仿宋_GB2312" w:cs="仿宋_GB2312" w:eastAsia="仿宋_GB2312"/>
                <w:sz w:val="32"/>
                <w:color w:val="333333"/>
              </w:rPr>
              <w:t>1、由贵单位提供的2026年镇巴县三元镇白果坝村经济合作社冷水鱼养殖建设项目施工图及相关要求；</w:t>
            </w:r>
          </w:p>
          <w:p>
            <w:pPr>
              <w:pStyle w:val="null3"/>
              <w:ind w:firstLine="643"/>
              <w:jc w:val="both"/>
            </w:pPr>
            <w:r>
              <w:rPr>
                <w:rFonts w:ascii="仿宋_GB2312" w:hAnsi="仿宋_GB2312" w:cs="仿宋_GB2312" w:eastAsia="仿宋_GB2312"/>
                <w:sz w:val="32"/>
                <w:color w:val="333333"/>
              </w:rPr>
              <w:t>2、《陕西省建设工程费用规则(2025)》；</w:t>
            </w:r>
          </w:p>
          <w:p>
            <w:pPr>
              <w:pStyle w:val="null3"/>
              <w:ind w:firstLine="640"/>
              <w:jc w:val="both"/>
            </w:pPr>
            <w:r>
              <w:rPr>
                <w:rFonts w:ascii="仿宋_GB2312" w:hAnsi="仿宋_GB2312" w:cs="仿宋_GB2312" w:eastAsia="仿宋_GB2312"/>
                <w:sz w:val="32"/>
                <w:color w:val="333333"/>
              </w:rPr>
              <w:t>3、《陕西省基价表(2025)，以下专业：房屋建筑与装饰工程、通用安装工程、市政工程、园林绿化工程、城市地下综合管廊工程、绿色建筑工程》；</w:t>
            </w:r>
          </w:p>
          <w:p>
            <w:pPr>
              <w:pStyle w:val="null3"/>
              <w:ind w:firstLine="640"/>
              <w:jc w:val="both"/>
            </w:pPr>
            <w:r>
              <w:rPr>
                <w:rFonts w:ascii="仿宋_GB2312" w:hAnsi="仿宋_GB2312" w:cs="仿宋_GB2312" w:eastAsia="仿宋_GB2312"/>
                <w:sz w:val="32"/>
                <w:color w:val="333333"/>
              </w:rPr>
              <w:t>4、《陕西省消耗量定额(2025)，以下专业：房屋建筑与装饰工程、通用安装工程、市政工程、园林绿化工程、城市地下综合管廊工程、绿色建筑工程》；</w:t>
            </w:r>
          </w:p>
          <w:p>
            <w:pPr>
              <w:pStyle w:val="null3"/>
              <w:ind w:firstLine="640"/>
              <w:jc w:val="both"/>
            </w:pPr>
            <w:r>
              <w:rPr>
                <w:rFonts w:ascii="仿宋_GB2312" w:hAnsi="仿宋_GB2312" w:cs="仿宋_GB2312" w:eastAsia="仿宋_GB2312"/>
                <w:sz w:val="32"/>
                <w:color w:val="333333"/>
              </w:rPr>
              <w:t>5、《陕西省建设工程施工机械台班费用定额(2025)》；</w:t>
            </w:r>
          </w:p>
          <w:p>
            <w:pPr>
              <w:pStyle w:val="null3"/>
              <w:ind w:firstLine="640"/>
              <w:jc w:val="both"/>
            </w:pPr>
            <w:r>
              <w:rPr>
                <w:rFonts w:ascii="仿宋_GB2312" w:hAnsi="仿宋_GB2312" w:cs="仿宋_GB2312" w:eastAsia="仿宋_GB2312"/>
                <w:sz w:val="32"/>
                <w:color w:val="333333"/>
              </w:rPr>
              <w:t>6、《陕西省建设工程施工仪器仪表台班费用定额(2025)》；</w:t>
            </w:r>
          </w:p>
          <w:p>
            <w:pPr>
              <w:pStyle w:val="null3"/>
              <w:ind w:firstLine="640"/>
              <w:jc w:val="both"/>
            </w:pPr>
            <w:r>
              <w:rPr>
                <w:rFonts w:ascii="仿宋_GB2312" w:hAnsi="仿宋_GB2312" w:cs="仿宋_GB2312" w:eastAsia="仿宋_GB2312"/>
                <w:sz w:val="32"/>
                <w:color w:val="333333"/>
              </w:rPr>
              <w:t>7、材料价格按2026年第2期《汉中市建设工程造价信息》计入；其中，中粗砂、净砂、碎石、片石、砂砾等，因三红公路改建附近料场资源丰富，故中粗砂、净砂、碎石、片石、砂砾等按60元/m3计入；</w:t>
            </w:r>
          </w:p>
          <w:p>
            <w:pPr>
              <w:pStyle w:val="null3"/>
              <w:ind w:firstLine="640"/>
              <w:jc w:val="both"/>
            </w:pPr>
            <w:r>
              <w:rPr>
                <w:rFonts w:ascii="仿宋_GB2312" w:hAnsi="仿宋_GB2312" w:cs="仿宋_GB2312" w:eastAsia="仿宋_GB2312"/>
                <w:sz w:val="32"/>
                <w:color w:val="333333"/>
              </w:rPr>
              <w:t>8、运用广联达云计价平台GCCP 7.0 计价。</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1、工期：180日历天；2、质量标准：达到规定要求标准。 其他技术要求详见本工程施工图纸及工程量清单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 户开户银行自开标时间前六个月内出具的资信证明。依法不需要提供此项的单位应提供相关证明材料:供应商需在项目电子化交易系 统中按要求上传相应证明文件并进行电子签章。</w:t>
            </w:r>
          </w:p>
        </w:tc>
        <w:tc>
          <w:tcPr>
            <w:tcW w:type="dxa" w:w="1661"/>
          </w:tcPr>
          <w:p>
            <w:pPr>
              <w:pStyle w:val="null3"/>
            </w:pPr>
            <w:r>
              <w:rPr>
                <w:rFonts w:ascii="仿宋_GB2312" w:hAnsi="仿宋_GB2312" w:cs="仿宋_GB2312" w:eastAsia="仿宋_GB2312"/>
              </w:rPr>
              <w:t>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供应商认为需要提供的其他内容.pdf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供应商资质及拟派项目负责人资格</w:t>
            </w:r>
          </w:p>
        </w:tc>
        <w:tc>
          <w:tcPr>
            <w:tcW w:type="dxa" w:w="3322"/>
          </w:tcPr>
          <w:p>
            <w:pPr>
              <w:pStyle w:val="null3"/>
            </w:pPr>
            <w:r>
              <w:rPr>
                <w:rFonts w:ascii="仿宋_GB2312" w:hAnsi="仿宋_GB2312" w:cs="仿宋_GB2312" w:eastAsia="仿宋_GB2312"/>
              </w:rPr>
              <w:t>供应商须具有建设行政主管部门颁发的建筑工程施工总承包三级及以上资质，具有有效的安全生产许可证；拟派项目经理须具有建筑工程专业注册建造师二级及以上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项目经理简历表.docx 供应商应提交的相关资格证明材料(1).pdf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供应商承诺书.pdf 供应商应提交的相关资格证明材料(1).pdf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本项目不接受联合体磋商，单位负责人为同一人或者存在直接控股、管理关系的不同单位，不得同时参加本项目磋商，供应商需在项目电子化交易系统中按要求上传相应证明文件并进行电子签章；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无拖欠证明</w:t>
            </w:r>
          </w:p>
        </w:tc>
        <w:tc>
          <w:tcPr>
            <w:tcW w:type="dxa" w:w="3322"/>
          </w:tcPr>
          <w:p>
            <w:pPr>
              <w:pStyle w:val="null3"/>
            </w:pPr>
            <w:r>
              <w:rPr>
                <w:rFonts w:ascii="仿宋_GB2312" w:hAnsi="仿宋_GB2312" w:cs="仿宋_GB2312" w:eastAsia="仿宋_GB2312"/>
              </w:rPr>
              <w:t>以供应商提供项目所在地人社部门出具的无拖欠农民工工资证明复印件，供应商需在项目电子化交易系统中按要求上传相应证明文件并进行电子签章；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供应商认为需要提供的其他内容.pdf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180日历天</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 盖章并加盖投标供应商公章</w:t>
            </w:r>
          </w:p>
        </w:tc>
        <w:tc>
          <w:tcPr>
            <w:tcW w:type="dxa" w:w="1661"/>
          </w:tcPr>
          <w:p>
            <w:pPr>
              <w:pStyle w:val="null3"/>
            </w:pPr>
            <w:r>
              <w:rPr>
                <w:rFonts w:ascii="仿宋_GB2312" w:hAnsi="仿宋_GB2312" w:cs="仿宋_GB2312" w:eastAsia="仿宋_GB2312"/>
              </w:rPr>
              <w:t>响应文件封面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项目施工部署</w:t>
            </w:r>
          </w:p>
        </w:tc>
        <w:tc>
          <w:tcPr>
            <w:tcW w:type="dxa" w:w="2492"/>
          </w:tcPr>
          <w:p>
            <w:pPr>
              <w:pStyle w:val="null3"/>
            </w:pPr>
            <w:r>
              <w:rPr>
                <w:rFonts w:ascii="仿宋_GB2312" w:hAnsi="仿宋_GB2312" w:cs="仿宋_GB2312" w:eastAsia="仿宋_GB2312"/>
              </w:rPr>
              <w:t>一、评审内容 供应商针对本项目编制完善的项目施工部署，内容包含：①核心施工管理内容：施工总体部署、施工方案与技术措施、成本目标、工期目标、质量目标②施工平面布置与安排：现场围挡及出入口管理、交通组织安排、消防安排、施工平面布置图。 二、评审标准 1、完整性：方案必须全面，对评审内容中的各项要求有详细描述； 2、可实施性：切合本项目实际情况，提出步骤清晰、合理的方案； 3、针对性：方案能够紧扣项目实际情况，内容科学合理。 三、赋分标准 ①核心施工管理内容：每完全满足一个评审标准得2分，满分6分； ②施工平面布置与安排：每完全满足一个评审标准得2分，满分6分；未提供或明显套用其他项目内容的不得分。 (缺陷是指:存在不适用项目实际情况的情形、凭空编造、套用其他项目方案、内容前后不一致、前后逻辑错误、涉及的规范及标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安 全 管 理 体 系 与 措 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②安全责任归属划分：每完全满足一个评审标准得1分，满3分；③安全标识：每完全满足一个评审标准得1分，满分3分； ④安全教育培训：每完全满足一个评审标准得1分，满分3分。未提供或明显套用其他项目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工 程 进 度 保 证 措 施</w:t>
            </w:r>
          </w:p>
        </w:tc>
        <w:tc>
          <w:tcPr>
            <w:tcW w:type="dxa" w:w="2492"/>
          </w:tcPr>
          <w:p>
            <w:pPr>
              <w:pStyle w:val="null3"/>
            </w:pPr>
            <w:r>
              <w:rPr>
                <w:rFonts w:ascii="仿宋_GB2312" w:hAnsi="仿宋_GB2312" w:cs="仿宋_GB2312" w:eastAsia="仿宋_GB2312"/>
              </w:rPr>
              <w:t>一、评审内容 供应商编制完善的施工总进度计划，内容包含：①施工进度目标②施工进度保障措施。 二、评审标准 1、完整性：方案须全面，对评审内容中的各项要求有详细描述及说明； 2、可实施性：切合本项目实际情况，实施步骤清晰、合理； 3、针对性：方案能够紧扣项目实际情况，内容科学合理。 三、赋分标准 ①施工进度目标：每完全满足一个评审标准得1分，满分3分； ②施工进度保障措施：每完全满足一个评审标准得1分，满分3分。未提供或明显套用其他项目内容的不得分。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质 量 管 理 体 系 与 措 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2、可实施性：切合本项目实际情况，实施步骤清晰、合理；3、针对性：方案能够紧扣项目实际情况，内容科学合理。 三、赋分标准 ①质量管理目标：每完全满足一个评审标准得1分，满分3分； ②施工质量保障措施：每完全满足一个评审标准得1分，满分3分； ③施工质量检验制度：每完全满足一个评审标准得1分，满分3分。未提供或明显套用其他项目 内容的不得分。 (缺陷是指:存在不适用项目实际情况的情形、凭空编造、套用其他项目方案、内容前后不一致、前后逻辑错误、涉及的规范及标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 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2、可实施性：切合本项目实际情况，实施步骤清晰、合理；3、针对性：方案能够紧扣项目实际情况，内容科学合理。 三、赋分标准 ①材料、半成品和机具的堆放管理：每完全满足一个评审标准得1分，满分3分； ②文明施工检查措施：每完全满足一个评审标准得1分，满分3分。未提供或明显套用其他项目 内容的不得分。 (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施工设备配置</w:t>
            </w:r>
          </w:p>
        </w:tc>
        <w:tc>
          <w:tcPr>
            <w:tcW w:type="dxa" w:w="2492"/>
          </w:tcPr>
          <w:p>
            <w:pPr>
              <w:pStyle w:val="null3"/>
            </w:pPr>
            <w:r>
              <w:rPr>
                <w:rFonts w:ascii="仿宋_GB2312" w:hAnsi="仿宋_GB2312" w:cs="仿宋_GB2312" w:eastAsia="仿宋_GB2312"/>
              </w:rPr>
              <w:t>针对本项目拟投入的主要施工机械设备配备进行评审，评审标准：1. 完整性：拟投入设备 种类齐全，相关内容描述完整详细，得2分；2. 可实施性：设备配置及进场方案切合项目 实际，步骤清晰、安排合理，得2分；3. 针对性：设备配置方案紧密结合本项目特点，科 学可行、合理适用，得2分。赋分标准：（满分6分）每完全满足一个评审标准得2分，满 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1、①项目管理机构图；②项目现场岗位人员配置方案及各岗位工作职责（含技术负责人、施工员、安全员、资料员、材料员、质量员等核心岗位）；③项目配套管理制度及现场实施保障措施。评审标准：供应商提供方案内容完整详实、逻辑清晰、贴合本项目建设要求，可有效保障项目落地实施的得6分。三项评审内容每缺失一项扣2分；若单项内容表述简略、内容不完善、前后逻辑冲突、模板化套用、与本项目建设需求不匹配、内容杜撰、存在专业常识错误，以及其他影响项目施工实施的缺陷问题，单项扣1分，本项分数扣完为止；2、项目经理具备工程类中级及以上专业技术职称得2分，具备初级专业技术职称得1分。 评审依据：磋商文件中提供职称证书复印件并加盖投标人公章。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拟投入本项目人员配置情况表.pdf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签订合同时间为准）至今完成的类似项目业绩，每提供一个合格业绩得2.5分，满分5分。未提供此项内容不得分。注：业绩以中标或成交通知书、协议书（合同）完工证明或竣工验收证明或其他合法证明材料，否则不作为加分项。响应文件内附相关资料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以满足招标文件要求且投标价格最低的投标报价为评标基准价，其价格分为满分30分，其他投标单位的价格分按照下列公式计算：投标报价得分=（评标基准价/投标报价） ×30% ×100 。经评标委员会一致认定，投标单位的投标最终总报价低于公认市场成本，或超过采购预算,其响应将被拒绝；（得分计算结果保留小数点后两位，小数点第三位四舍五入）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详见附件：供应商认为需要提供的其他内容.pdf</w:t>
      </w:r>
    </w:p>
    <w:p>
      <w:pPr>
        <w:pStyle w:val="null3"/>
        <w:ind w:firstLine="960"/>
      </w:pPr>
      <w:r>
        <w:rPr>
          <w:rFonts w:ascii="仿宋_GB2312" w:hAnsi="仿宋_GB2312" w:cs="仿宋_GB2312" w:eastAsia="仿宋_GB2312"/>
        </w:rPr>
        <w:t>详见附件：供应商应提交的相关资格证明材料(1).pdf</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详见附件：拟投入本项目人员配置情况表.pdf</w:t>
      </w:r>
    </w:p>
    <w:p>
      <w:pPr>
        <w:pStyle w:val="null3"/>
        <w:ind w:firstLine="960"/>
      </w:pPr>
      <w:r>
        <w:rPr>
          <w:rFonts w:ascii="仿宋_GB2312" w:hAnsi="仿宋_GB2312" w:cs="仿宋_GB2312" w:eastAsia="仿宋_GB2312"/>
        </w:rPr>
        <w:t>详见附件：项目经理简历表.docx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