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版本号：HCZB-2026-SC-10920260407002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2025年高标准农田建设项目土壤改良采购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HCZB-2026-SC-109</w:t>
      </w:r>
      <w:r>
        <w:br/>
      </w:r>
      <w:r>
        <w:br/>
      </w:r>
      <w:r>
        <w:br/>
      </w:r>
    </w:p>
    <w:p>
      <w:pPr>
        <w:pStyle w:val="null3"/>
        <w:jc w:val="center"/>
        <w:outlineLvl w:val="2"/>
      </w:pPr>
      <w:r>
        <w:rPr>
          <w:rFonts w:ascii="仿宋_GB2312" w:hAnsi="仿宋_GB2312" w:cs="仿宋_GB2312" w:eastAsia="仿宋_GB2312"/>
          <w:sz w:val="28"/>
          <w:b/>
        </w:rPr>
        <w:t>镇巴县农业农村局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镇巴县农业农村局</w:t>
      </w:r>
      <w:r>
        <w:rPr>
          <w:rFonts w:ascii="仿宋_GB2312" w:hAnsi="仿宋_GB2312" w:cs="仿宋_GB2312" w:eastAsia="仿宋_GB2312"/>
        </w:rPr>
        <w:t>委托，拟对</w:t>
      </w:r>
      <w:r>
        <w:rPr>
          <w:rFonts w:ascii="仿宋_GB2312" w:hAnsi="仿宋_GB2312" w:cs="仿宋_GB2312" w:eastAsia="仿宋_GB2312"/>
        </w:rPr>
        <w:t>2025年高标准农田建设项目土壤改良采购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HCZB-2026-SC-109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2025年高标准农田建设项目土壤改良采购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2025年高标准农田建设项目土壤改良采购，改良土壤面积5000亩，采购有机肥1000吨，共分3个包。 本次采购内容为：采购包1：2025年高标准农田建设项目土壤改良采购一标段，长岭镇2024亩，405吨；采购包2：2025年高标准农田建设项目土壤改良采购二标段，杨家河镇1172亩，234吨；采购包3：2025年高标准农田建设项目土壤改良采购三标段，泾洋街道办1804亩，361吨。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采购包1（2025年高标准农田建设项目土壤改良采购一标段）：属于专门面向中小企业采购。</w:t>
      </w:r>
    </w:p>
    <w:p>
      <w:pPr>
        <w:pStyle w:val="null3"/>
      </w:pPr>
      <w:r>
        <w:rPr>
          <w:rFonts w:ascii="仿宋_GB2312" w:hAnsi="仿宋_GB2312" w:cs="仿宋_GB2312" w:eastAsia="仿宋_GB2312"/>
        </w:rPr>
        <w:t>采购包2（2025年高标准农田建设项目土壤改良采购二标段）：属于专门面向中小企业采购。</w:t>
      </w:r>
    </w:p>
    <w:p>
      <w:pPr>
        <w:pStyle w:val="null3"/>
      </w:pPr>
      <w:r>
        <w:rPr>
          <w:rFonts w:ascii="仿宋_GB2312" w:hAnsi="仿宋_GB2312" w:cs="仿宋_GB2312" w:eastAsia="仿宋_GB2312"/>
        </w:rPr>
        <w:t>采购包3（2025年高标准农田建设项目土壤改良采购三标段）：属于专门面向中小企业采购。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2、资质证明：供应商为生产厂家时提供所投产品有效期内的肥料登记证（供应商为代理商时提供所投产品生产厂家产品有效期内的肥料登记证）。</w:t>
      </w:r>
    </w:p>
    <w:p>
      <w:pPr>
        <w:pStyle w:val="null3"/>
      </w:pPr>
      <w:r>
        <w:rPr>
          <w:rFonts w:ascii="仿宋_GB2312" w:hAnsi="仿宋_GB2312" w:cs="仿宋_GB2312" w:eastAsia="仿宋_GB2312"/>
        </w:rPr>
        <w:t>3、法定代表人授权书：提供法定代表人授权书（附法定代表人、被授权人身份证复印件）法定代表人直接参加投标，须提供法定代表人身份证明及身份证复印件。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4、供应商资格承诺函：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5、非联合体承诺：本项目不接受联合体投标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2、资质证明：供应商为生产厂家时提供所投产品有效期内的肥料登记证（供应商为代理商时提供所投产品生产厂家产品有效期内的肥料登记证）。</w:t>
      </w:r>
    </w:p>
    <w:p>
      <w:pPr>
        <w:pStyle w:val="null3"/>
      </w:pPr>
      <w:r>
        <w:rPr>
          <w:rFonts w:ascii="仿宋_GB2312" w:hAnsi="仿宋_GB2312" w:cs="仿宋_GB2312" w:eastAsia="仿宋_GB2312"/>
        </w:rPr>
        <w:t>3、法定代表人授权书：提供法定代表人授权书（附法定代表人、被授权人身份证复印件）法定代表人直接参加投标，须提供法定代表人身份证明及身份证复印件。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4、供应商资格承诺函：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5、非联合体承诺：本项目不接受联合体投标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2、资质证明：供应商为生产厂家时提供所投产品有效期内的肥料登记证（供应商为代理商时提供所投产品生产厂家产品有效期内的肥料登记证）。</w:t>
      </w:r>
    </w:p>
    <w:p>
      <w:pPr>
        <w:pStyle w:val="null3"/>
      </w:pPr>
      <w:r>
        <w:rPr>
          <w:rFonts w:ascii="仿宋_GB2312" w:hAnsi="仿宋_GB2312" w:cs="仿宋_GB2312" w:eastAsia="仿宋_GB2312"/>
        </w:rPr>
        <w:t>3、法定代表人授权书：提供法定代表人授权书（附法定代表人、被授权人身份证复印件）法定代表人直接参加评标，须提供法定代表人身份证明及身份证复印件。</w:t>
      </w:r>
    </w:p>
    <w:p>
      <w:pPr>
        <w:pStyle w:val="null3"/>
      </w:pPr>
      <w:r>
        <w:rPr>
          <w:rFonts w:ascii="仿宋_GB2312" w:hAnsi="仿宋_GB2312" w:cs="仿宋_GB2312" w:eastAsia="仿宋_GB2312"/>
        </w:rPr>
        <w:t>4、供应商资格承诺函：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5、非联合体承诺：本项目不接受联合体投标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陕西省汉中市镇巴县泾洋街道办秦茗路49号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孙军超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17791690198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采购包1：551,782.88元</w:t>
            </w:r>
          </w:p>
          <w:p>
            <w:pPr>
              <w:pStyle w:val="null3"/>
            </w:pPr>
            <w:r>
              <w:rPr>
                <w:rFonts w:ascii="仿宋_GB2312" w:hAnsi="仿宋_GB2312" w:cs="仿宋_GB2312" w:eastAsia="仿宋_GB2312"/>
              </w:rPr>
              <w:t>采购包2：319,510.64元</w:t>
            </w:r>
          </w:p>
          <w:p>
            <w:pPr>
              <w:pStyle w:val="null3"/>
            </w:pPr>
            <w:r>
              <w:rPr>
                <w:rFonts w:ascii="仿宋_GB2312" w:hAnsi="仿宋_GB2312" w:cs="仿宋_GB2312" w:eastAsia="仿宋_GB2312"/>
              </w:rPr>
              <w:t>采购包3：491,806.48元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代理服务费参照国家计委《招标代理服务收费管理暂行办法》计价格[2002]1980号、国家发展改革委办公厅《关于招标代理服务收费有关问题的通知》发改办价格［2003］857号规定的标准计取。不足5000.00元按5000.00元收取/标段。</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镇巴县农业农村局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联系电话：15029248822</w:t>
      </w:r>
    </w:p>
    <w:p>
      <w:pPr>
        <w:pStyle w:val="null3"/>
      </w:pPr>
      <w:r>
        <w:rPr>
          <w:rFonts w:ascii="仿宋_GB2312" w:hAnsi="仿宋_GB2312" w:cs="仿宋_GB2312" w:eastAsia="仿宋_GB2312"/>
        </w:rPr>
        <w:t>地址：陕西省西安市南二环西段成长大厦8楼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2025年高标准农田建设项目土壤改良采购，改良土壤面积5000亩，采购有机肥1000吨，共分3个包。 本次采购内容为：采购包1：2025年高标准农田建设项目土壤改良采购一标段，长岭镇2024亩，405吨；采购包2：2025年高标准农田建设项目土壤改良采购二标段，杨家河镇1172亩，234吨；采购包3：2025年高标准农田建设项目土壤改良采购三标段，泾洋街道办1804亩，361吨。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551,782.88</w:t>
      </w:r>
    </w:p>
    <w:p>
      <w:pPr>
        <w:pStyle w:val="null3"/>
      </w:pPr>
      <w:r>
        <w:rPr>
          <w:rFonts w:ascii="仿宋_GB2312" w:hAnsi="仿宋_GB2312" w:cs="仿宋_GB2312" w:eastAsia="仿宋_GB2312"/>
        </w:rPr>
        <w:t>采购包最高限价（元）: 551,782.88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长岭镇2024亩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551,782.88</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319,510.64</w:t>
      </w:r>
    </w:p>
    <w:p>
      <w:pPr>
        <w:pStyle w:val="null3"/>
      </w:pPr>
      <w:r>
        <w:rPr>
          <w:rFonts w:ascii="仿宋_GB2312" w:hAnsi="仿宋_GB2312" w:cs="仿宋_GB2312" w:eastAsia="仿宋_GB2312"/>
        </w:rPr>
        <w:t>采购包最高限价（元）: 319,510.64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杨家河镇1172亩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319,510.64</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491,806.48</w:t>
      </w:r>
    </w:p>
    <w:p>
      <w:pPr>
        <w:pStyle w:val="null3"/>
      </w:pPr>
      <w:r>
        <w:rPr>
          <w:rFonts w:ascii="仿宋_GB2312" w:hAnsi="仿宋_GB2312" w:cs="仿宋_GB2312" w:eastAsia="仿宋_GB2312"/>
        </w:rPr>
        <w:t>采购包最高限价（元）: 491,806.48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泾洋街道办1804亩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491,806.48</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标的名称：长岭镇2024亩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长岭镇</w:t>
            </w:r>
          </w:p>
          <w:tbl>
            <w:tblPr>
              <w:tblInd w:type="dxa" w:w="135"/>
              <w:tblBorders>
                <w:top w:val="none" w:color="000000" w:sz="4"/>
                <w:left w:val="none" w:color="000000" w:sz="4"/>
                <w:bottom w:val="none" w:color="000000" w:sz="4"/>
                <w:right w:val="none" w:color="000000" w:sz="4"/>
                <w:insideH w:val="none"/>
                <w:insideV w:val="none"/>
              </w:tblBorders>
            </w:tblPr>
            <w:tblGrid>
              <w:gridCol w:w="1019"/>
              <w:gridCol w:w="760"/>
              <w:gridCol w:w="773"/>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面积（亩）</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有机肥（吨）</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九阵坝村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松树梁村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碗厂沟村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张家岭村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中坝村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新房坪村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r>
          </w:tbl>
          <w:p>
            <w:pPr>
              <w:pStyle w:val="null3"/>
              <w:spacing w:after="165"/>
            </w:pPr>
            <w:r>
              <w:rPr>
                <w:rFonts w:ascii="仿宋_GB2312" w:hAnsi="仿宋_GB2312" w:cs="仿宋_GB2312" w:eastAsia="仿宋_GB2312"/>
                <w:sz w:val="24"/>
                <w:color w:val="000000"/>
              </w:rPr>
              <w:t>生物有机肥执行标准：</w:t>
            </w:r>
            <w:r>
              <w:rPr>
                <w:rFonts w:ascii="仿宋_GB2312" w:hAnsi="仿宋_GB2312" w:cs="仿宋_GB2312" w:eastAsia="仿宋_GB2312"/>
                <w:sz w:val="24"/>
                <w:color w:val="000000"/>
              </w:rPr>
              <w:t>NY/T884-2012行业标准。</w:t>
            </w:r>
          </w:p>
          <w:p>
            <w:pPr>
              <w:pStyle w:val="null3"/>
              <w:spacing w:after="165"/>
            </w:pPr>
            <w:r>
              <w:rPr>
                <w:rFonts w:ascii="仿宋_GB2312" w:hAnsi="仿宋_GB2312" w:cs="仿宋_GB2312" w:eastAsia="仿宋_GB2312"/>
                <w:sz w:val="24"/>
                <w:color w:val="000000"/>
              </w:rPr>
              <w:t>1.有机质含量：≥40%，以干基计。2.有效活菌数：≥0.2亿/g。3.水分含量：≤30%。4. pH值：5.5-8.5。5.粪大肠菌群数：≤100个/g，蛔虫卵死亡率：≥95%。6.重金属含量限值：总砷（As）≤15mg/kg，总汞（Hg）≤2mg/kg，总铅（Pb）≤50mg/kg，总镉（Cd）≤3mg/kg，总铬（Cr）≤150mg/kg。7.外观：呈褐色或黑褐色，疏松状，无明显机械杂质，无恶臭气味。8.包装要求：采用编织袋或塑料袋包装，每袋净含量25kg±0.5kg，包装袋上需清晰标注产品名称、生产企业名称及地址、生产日期或批号、产品执行标准号、净含量、有机质含量、有效活菌数等信息。9.运输及储存：运输过程中应防止包装破损、雨淋、受潮；储存时应堆放在通风、干燥、防雨、防晒的仓库内，避免与有毒有害物质混存。10.供货要求：需按照采购方指定的时间和地点分批次送达，每批次到货后需由采购方、监理单位及项目所在镇村代表共同对产品外观、包装、数量及随货同行的检测报告等进行核验，核验合格后方可签收。11.售后服务：供应商需对所供生物有机肥质量负责，若在使用过程中出现质量问题，要在48小时内响应，并负责免费更换或退货，由此造成的损失由供应商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标的名称：杨家河镇1172亩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杨家河镇</w:t>
            </w:r>
          </w:p>
          <w:tbl>
            <w:tblPr>
              <w:tblInd w:type="dxa" w:w="135"/>
              <w:tblBorders>
                <w:top w:val="none" w:color="000000" w:sz="4"/>
                <w:left w:val="none" w:color="000000" w:sz="4"/>
                <w:bottom w:val="none" w:color="000000" w:sz="4"/>
                <w:right w:val="none" w:color="000000" w:sz="4"/>
                <w:insideH w:val="none"/>
                <w:insideV w:val="none"/>
              </w:tblBorders>
            </w:tblPr>
            <w:tblGrid>
              <w:gridCol w:w="1019"/>
              <w:gridCol w:w="765"/>
              <w:gridCol w:w="768"/>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面积（亩）</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有机肥（吨）</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口泉河村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269</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构园村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王家河村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杨家河社区</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203</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三湾村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377</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贺家山村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bl>
          <w:p>
            <w:pPr>
              <w:pStyle w:val="null3"/>
              <w:spacing w:after="165"/>
            </w:pPr>
            <w:r>
              <w:rPr>
                <w:rFonts w:ascii="仿宋_GB2312" w:hAnsi="仿宋_GB2312" w:cs="仿宋_GB2312" w:eastAsia="仿宋_GB2312"/>
                <w:sz w:val="24"/>
                <w:color w:val="000000"/>
              </w:rPr>
              <w:t>生物有机肥执行标准：</w:t>
            </w:r>
            <w:r>
              <w:rPr>
                <w:rFonts w:ascii="仿宋_GB2312" w:hAnsi="仿宋_GB2312" w:cs="仿宋_GB2312" w:eastAsia="仿宋_GB2312"/>
                <w:sz w:val="24"/>
                <w:color w:val="000000"/>
              </w:rPr>
              <w:t>NY/T884-2012行业标准。</w:t>
            </w:r>
          </w:p>
          <w:p>
            <w:pPr>
              <w:pStyle w:val="null3"/>
              <w:spacing w:after="165"/>
            </w:pPr>
            <w:r>
              <w:rPr>
                <w:rFonts w:ascii="仿宋_GB2312" w:hAnsi="仿宋_GB2312" w:cs="仿宋_GB2312" w:eastAsia="仿宋_GB2312"/>
                <w:sz w:val="24"/>
                <w:color w:val="000000"/>
              </w:rPr>
              <w:t>1.有机质含量：≥40%，以干基计。2.有效活菌数：≥0.2亿/g。3.水分含量：≤30%。4. pH值：5.5-8.5。5.粪大肠菌群数：≤100个/g，蛔虫卵死亡率：≥95%。6.重金属含量限值：总砷（As）≤15mg/kg，总汞（Hg）≤2mg/kg，总铅（Pb）≤50mg/kg，总镉（Cd）≤3mg/kg，总铬（Cr）≤150mg/kg。7.外观：呈褐色或黑褐色，疏松状，无明显机械杂质，无恶臭气味。8.包装要求：采用编织袋或塑料袋包装，每袋净含量25kg±0.5kg，包装袋上需清晰标注产品名称、生产企业名称及地址、生产日期或批号、产品执行标准号、净含量、有机质含量、有效活菌数等信息。9.运输及储存：运输过程中应防止包装破损、雨淋、受潮；储存时应堆放在通风、干燥、防雨、防晒的仓库内，避免与有毒有害物质混存。10.供货要求：需按照采购方指定的时间和地点分批次送达，每批次到货后需由采购方、监理单位及项目所在镇村代表共同对产品外观、包装、数量及随货同行的检测报告等进行核验，核验合格后方可签收。11.售后服务：供应商需对所供生物有机肥质量负责，若在使用过程中出现质量问题，要在48小时内响应，并负责免费更换或退货，由此造成的损失由供应商承担。</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标的名称：泾洋街道办1804亩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泾洋街道办</w:t>
            </w:r>
          </w:p>
          <w:tbl>
            <w:tblPr>
              <w:tblBorders>
                <w:top w:val="none" w:color="000000" w:sz="4"/>
                <w:left w:val="none" w:color="000000" w:sz="4"/>
                <w:bottom w:val="none" w:color="000000" w:sz="4"/>
                <w:right w:val="none" w:color="000000" w:sz="4"/>
                <w:insideH w:val="none"/>
                <w:insideV w:val="none"/>
              </w:tblBorders>
            </w:tblPr>
            <w:tblGrid>
              <w:gridCol w:w="1019"/>
              <w:gridCol w:w="760"/>
              <w:gridCol w:w="773"/>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村</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面积（亩）</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有机肥（吨）</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二郎滩村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蒿坪子村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捞旗河村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鹿子坝社区</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泾洋村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七里沟村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晒旗坝村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梨子园村</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bl>
          <w:p>
            <w:pPr>
              <w:pStyle w:val="null3"/>
              <w:spacing w:after="165"/>
            </w:pPr>
            <w:r>
              <w:rPr>
                <w:rFonts w:ascii="仿宋_GB2312" w:hAnsi="仿宋_GB2312" w:cs="仿宋_GB2312" w:eastAsia="仿宋_GB2312"/>
                <w:sz w:val="21"/>
                <w:color w:val="000000"/>
              </w:rPr>
              <w:t>生物有机肥执行标准：</w:t>
            </w:r>
            <w:r>
              <w:rPr>
                <w:rFonts w:ascii="仿宋_GB2312" w:hAnsi="仿宋_GB2312" w:cs="仿宋_GB2312" w:eastAsia="仿宋_GB2312"/>
                <w:sz w:val="21"/>
                <w:color w:val="000000"/>
              </w:rPr>
              <w:t>NY/T884-2012行业标准。</w:t>
            </w:r>
          </w:p>
          <w:p>
            <w:pPr>
              <w:pStyle w:val="null3"/>
              <w:spacing w:after="165"/>
            </w:pPr>
            <w:r>
              <w:rPr>
                <w:rFonts w:ascii="仿宋_GB2312" w:hAnsi="仿宋_GB2312" w:cs="仿宋_GB2312" w:eastAsia="仿宋_GB2312"/>
                <w:sz w:val="21"/>
                <w:color w:val="000000"/>
              </w:rPr>
              <w:t>1.有机质含量：≥40%，以干基计。2.有效活菌数：≥0.2亿/g。3.水分含量：≤30%。4. pH值：5.5-8.5。5.粪大肠菌群数：≤100个/g，蛔虫卵死亡率：≥95%。6.重金属含量限值：总砷（As）≤15mg/kg，总汞（Hg）≤2mg/kg，总铅（Pb）≤50mg/kg，总镉（Cd）≤3mg/kg，总铬（Cr）≤150mg/kg。7.外观：呈褐色或黑褐色，疏松状，无明显机械杂质，无恶臭气味。8.包装要求：采用编织袋或塑料袋包装，每袋净含量25kg±0.5kg，包装袋上需清晰标注产品名称、生产企业名称及地址、生产日期或批号、产品执行标准号、净含量、有机质含量、有效活菌数等信息。9.运输及储存：运输过程中应防止包装破损、雨淋、受潮；储存时应堆放在通风、干燥、防雨、防晒的仓库内，避免与有毒有害物质混存。10.供货要求：需按照采购方指定的时间和地点分批次送达，每批次到货后需由采购方、监理单位及项目所在镇村代表共同对产品外观、包装、数量及随货同行的检测报告等进行核验，核验合格后方可签收。11.售后服务：供应商需对所供生物有机肥质量负责，若在使用过程中出现质量问题，要在48小时内响应，并负责免费更换或退货，由此造成的损失由供应商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合同签订后并供货完毕</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终验合格后不少于12个月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合同签订后并供货完毕</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终验合格后不少于12个月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合同签订后并供货完毕</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终验合格后不少于12个月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根据高标准农田建设通则（GB/T 30600-2022）等相关文件和项目规范性要求，在肥料运送到现场准备发放前，县农业农村局对该批次肥料随机抽取样本送至第三方检测机构进行化验。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1）质保范围：全部； 2）质保期：自验收合格之日起不少于12个月。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1）质保范围：全部； 2）质保期：自验收合格之日起不少于12个月。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1）质保范围：全部； 2）质保期：自验收合格之日起不少于12个月。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包1、2、3的中标人不得为同一投标人(兼投不兼中）。若同一投标人在多个包均被推荐为第一中标候选人，则按包顺序优先确定前序包中标资格，该投标人在后续包自动失去中标资格，后续包由第二名顺延为第一中标候选人，依次类推。 2.投标人需要在线提交所有通过电子化交易平台实施的政府采购项目的投标（响应）文件，同时，线下提交纸质投标（响应）文件正本壹份、副本贰份、电子版贰份（U盘贰份）。 3.纸质投标（响应）文件正副本分别胶装，标明投标人（供应商）名称密封递交。 4.线下纸质文件递交截止时间：同在线递交电子投标（响应）文件截止时间一致；线下纸质文件递交地点：陕西省汉中市汉台区中心广场西侧国贸中心主楼全季酒店（汉中国贸店）6楼4号会议室。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供应商为生产厂家时提供所投产品有效期内的肥料登记证（供应商为代理商时提供所投产品生产厂家产品有效期内的肥料登记证）。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供应商为生产厂家时提供所投产品有效期内的肥料登记证（供应商为代理商时提供所投产品生产厂家产品有效期内的肥料登记证）。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供应商为生产厂家时提供所投产品有效期内的肥料登记证（供应商为代理商时提供所投产品生产厂家产品有效期内的肥料登记证）。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提供法定代表人授权书（附法定代表人、被授权人身份证复印件）法定代表人直接参加评标，须提供法定代表人身份证明及身份证复印件。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对“交货地点和方式、付款方式，质保期”等商务条款进行响应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投标文件完整性及有效性</w:t>
            </w:r>
          </w:p>
        </w:tc>
        <w:tc>
          <w:tcPr>
            <w:tcW w:type="dxa" w:w="3322"/>
          </w:tcPr>
          <w:p>
            <w:pPr>
              <w:pStyle w:val="null3"/>
            </w:pPr>
            <w:r>
              <w:rPr>
                <w:rFonts w:ascii="仿宋_GB2312" w:hAnsi="仿宋_GB2312" w:cs="仿宋_GB2312" w:eastAsia="仿宋_GB2312"/>
              </w:rPr>
              <w:t>投标文件构成无缺项且响应招标文件</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对“交货地点和方式、付款方式，质保期”等商务条款进行响应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投标文件完整性及有效性</w:t>
            </w:r>
          </w:p>
        </w:tc>
        <w:tc>
          <w:tcPr>
            <w:tcW w:type="dxa" w:w="3322"/>
          </w:tcPr>
          <w:p>
            <w:pPr>
              <w:pStyle w:val="null3"/>
            </w:pPr>
            <w:r>
              <w:rPr>
                <w:rFonts w:ascii="仿宋_GB2312" w:hAnsi="仿宋_GB2312" w:cs="仿宋_GB2312" w:eastAsia="仿宋_GB2312"/>
              </w:rPr>
              <w:t>投标文件构成无缺项且响应招标文件</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对“交货地点和方式、付款方式，质保期”等商务条款进行响应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投标文件完整性及有效性</w:t>
            </w:r>
          </w:p>
        </w:tc>
        <w:tc>
          <w:tcPr>
            <w:tcW w:type="dxa" w:w="3322"/>
          </w:tcPr>
          <w:p>
            <w:pPr>
              <w:pStyle w:val="null3"/>
            </w:pPr>
            <w:r>
              <w:rPr>
                <w:rFonts w:ascii="仿宋_GB2312" w:hAnsi="仿宋_GB2312" w:cs="仿宋_GB2312" w:eastAsia="仿宋_GB2312"/>
              </w:rPr>
              <w:t>投标文件构成无缺项且响应招标文件</w:t>
            </w:r>
          </w:p>
        </w:tc>
        <w:tc>
          <w:tcPr>
            <w:tcW w:type="dxa" w:w="1661"/>
          </w:tcPr>
          <w:p>
            <w:pPr>
              <w:pStyle w:val="null3"/>
            </w:pPr>
            <w:r>
              <w:rPr>
                <w:rFonts w:ascii="仿宋_GB2312" w:hAnsi="仿宋_GB2312" w:cs="仿宋_GB2312" w:eastAsia="仿宋_GB2312"/>
              </w:rPr>
              <w:t>开标一览表 投标人应提交的相关资格证明材料.pdf 服务方案.pdf 中小企业声明函 商务应答表 陕西省政府采购投标人拒绝政府采购领域商业贿赂承诺书.pdf 业绩一览表.pdf 产品技术参数表 投标函 残疾人福利性单位声明函 标的清单 投标文件封面 监狱企业的证明文件 关于符合本国产品标准的声明函.pdf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供应商对本项目的实施方案进行阐述，包括但不限于①配送方案②配送时间③货物交接的具体服务方案④风险分析与解决方案⑤应急预案等。 （1）每有一项内容进行了详细阐述且完全满足项目需求的，得4分； （2）每有一项内容进行了阐述且基本满足项目需求的，得2.5分； （3）每有一项内容进行了阐述但并未完全满足项目需求，或内容未包括细节或措施的，得1.5分；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完全满足“技术参数与性能指标”，共11项，供应商拟供产品技术要求全部满足得11分，每有一项负偏离扣1分，扣完为止； 注：须提供所响应产品相关佐证材料（产品说明书、检测报告、销售协议、代理协议、产品认证证书、产品彩页、官网截图、厂家产品授权以及产品供货及售后服务承诺函等），供应商自行承担因提供相关佐证材料不足而导致被视为参数负偏离的风险。</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供应商详细说明本项目的采购要求和投标技术响应情况，对提供的质量保证措施进行阐述，包括但不限于：①原料选择与处理②生产工艺与设备③养分含量与配比④安全性与环保性等。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供应商针对于本项目售后服务方案进行阐述，包括但不限于：①技术指导与培训服务②质量跟踪与效果评估③售后咨询与问题解决④市场反馈与产品改进等。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供应商针对本项目采购产品特点提供有利于本项目开展的其它承诺及合理化建议，承诺及建议有针对性，合理可行得4分，承诺及建议针对性不强，合理性和可行性一般得2分，未提供不得分。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节能环保环标产品</w:t>
            </w:r>
          </w:p>
        </w:tc>
        <w:tc>
          <w:tcPr>
            <w:tcW w:type="dxa" w:w="2492"/>
          </w:tcPr>
          <w:p>
            <w:pPr>
              <w:pStyle w:val="null3"/>
            </w:pPr>
            <w:r>
              <w:rPr>
                <w:rFonts w:ascii="仿宋_GB2312" w:hAnsi="仿宋_GB2312" w:cs="仿宋_GB2312" w:eastAsia="仿宋_GB2312"/>
              </w:rPr>
              <w:t>投标产品中每有一项为经国家认证的节能产品的计0.5分，每有一项为经国家认证的环境标志产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供应商应提供2023年1月1日以来类似项目业绩，每提供一份得2分，最高得10分。 注：以合同复印件加盖公章为准。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供应商的价格为投标基准价，其价格分为满分。其他供应商的价格分统一按照下列公式计算:投标报价得分=(评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供应商对本项目的实施方案进行阐述，包括但不限于①配送方案②配送时间③货物交接的具体服务方案④风险分析与解决方案⑤应急预案等。 （1）每有一项内容进行了详细阐述且完全满足项目需求的，得4分； （2）每有一项内容进行了阐述且基本满足项目需求的，得2.5分； （3）每有一项内容进行了阐述但并未完全满足项目需求，或内容未包括细节或措施的，得1.5分；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完全满足“技术参数与性能指标”，共11项，供应商拟供产品技术要求全部满足得11分，每有一项负偏离扣1分，扣完为止； 注：须提供所响应产品相关佐证材料（产品说明书、检测报告、销售协议、代理协议、产品认证证书、产品彩页、官网截图、厂家产品授权以及产品供货及售后服务承诺函等），供应商自行承担因提供相关佐证材料不足而导致被视为参数负偏离的风险。</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供应商详细说明本项目的采购要求和投标技术响应情况，对提供的质量保证措施进行阐述，包括但不限于：①原料选择与处理②生产工艺与设备③养分含量与配比④安全性与环保性等。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供应商针对于本项目售后服务方案进行阐述，包括但不限于：①技术指导与培训服务②质量跟踪与效果评估③售后咨询与问题解决④市场反馈与产品改进等。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供应商针对本项目采购产品特点提供有利于本项目开展的其它承诺及合理化建议，承诺及建议有针对性，合理可行得4分，承诺及建议针对性不强，合理性和可行性一般得2分，未提供不得分。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节能环保环标产品</w:t>
            </w:r>
          </w:p>
        </w:tc>
        <w:tc>
          <w:tcPr>
            <w:tcW w:type="dxa" w:w="2492"/>
          </w:tcPr>
          <w:p>
            <w:pPr>
              <w:pStyle w:val="null3"/>
            </w:pPr>
            <w:r>
              <w:rPr>
                <w:rFonts w:ascii="仿宋_GB2312" w:hAnsi="仿宋_GB2312" w:cs="仿宋_GB2312" w:eastAsia="仿宋_GB2312"/>
              </w:rPr>
              <w:t>投标产品中每有一项为经国家认证的节能产品的计0.5分，每有一项为经国家认证的环境标志产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供应商应提供2023年1月1日以来类似项目业绩，每提供一份得2分，最高得10分。 注：以合同复印件加盖公章为准。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供应商的价格为投标基准价，其价格分为满分。其他供应商的价格分统一按照下列公式计算:投标报价得分=(评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供应商对本项目的实施方案进行阐述，包括但不限于①配送方案②配送时间③货物交接的具体服务方案④风险分析与解决方案⑤应急预案等。 （1）每有一项内容进行了详细阐述且完全满足项目需求的，得4分； （2）每有一项内容进行了阐述且基本满足项目需求的，得2.5分； （3）每有一项内容进行了阐述但并未完全满足项目需求，或内容未包括细节或措施的，得1.5分；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完全满足“技术参数与性能指标”，共11项，供应商拟供产品技术要求全部满足得11分，每有一项负偏离扣1分，扣完为止； 注：须提供所响应产品相关佐证材料（产品说明书、检测报告、销售协议、代理协议、产品认证证书、产品彩页、官网截图、厂家产品授权以及产品供货及售后服务承诺函等），供应商自行承担因提供相关佐证材料不足而导致被视为参数负偏离的风险。</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供应商详细说明本项目的采购要求和投标技术响应情况，对提供的质量保证措施进行阐述，包括但不限于：①原料选择与处理②生产工艺与设备③养分含量与配比④安全性与环保性等。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供应商针对于本项目售后服务方案进行阐述，包括但不限于：①技术指导与培训服务②质量跟踪与效果评估③售后咨询与问题解决④市场反馈与产品改进等。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供应商针对本项目采购产品特点提供有利于本项目开展的其它承诺及合理化建议，承诺及建议有针对性，合理可行得4分，承诺及建议针对性不强，合理性和可行性一般得2分，未提供不得分。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节能环保环标产品</w:t>
            </w:r>
          </w:p>
        </w:tc>
        <w:tc>
          <w:tcPr>
            <w:tcW w:type="dxa" w:w="2492"/>
          </w:tcPr>
          <w:p>
            <w:pPr>
              <w:pStyle w:val="null3"/>
            </w:pPr>
            <w:r>
              <w:rPr>
                <w:rFonts w:ascii="仿宋_GB2312" w:hAnsi="仿宋_GB2312" w:cs="仿宋_GB2312" w:eastAsia="仿宋_GB2312"/>
              </w:rPr>
              <w:t>投标产品中每有一项为经国家认证的节能产品的计0.5分，每有一项为经国家认证的环境标志产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供应商应提供2023年1月1日以来类似项目业绩，每提供一份得2分，最高得10分。 注：以合同复印件加盖公章为准。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供应商的价格为投标基准价，其价格分为满分。其他供应商的价格分统一按照下列公式计算:投标报价得分=(评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详见附件：关于符合本国产品标准的声明函.pdf</w:t>
      </w:r>
    </w:p>
    <w:p>
      <w:pPr>
        <w:pStyle w:val="null3"/>
        <w:ind w:firstLine="960"/>
      </w:pPr>
      <w:r>
        <w:rPr>
          <w:rFonts w:ascii="仿宋_GB2312" w:hAnsi="仿宋_GB2312" w:cs="仿宋_GB2312" w:eastAsia="仿宋_GB2312"/>
        </w:rPr>
        <w:t>详见附件：陕西省政府采购投标人拒绝政府采购领域商业贿赂承诺书.pdf</w:t>
      </w:r>
    </w:p>
    <w:p>
      <w:pPr>
        <w:pStyle w:val="null3"/>
        <w:ind w:firstLine="960"/>
      </w:pPr>
      <w:r>
        <w:rPr>
          <w:rFonts w:ascii="仿宋_GB2312" w:hAnsi="仿宋_GB2312" w:cs="仿宋_GB2312" w:eastAsia="仿宋_GB2312"/>
        </w:rPr>
        <w:t>详见附件：业绩一览表.pdf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详见附件：关于符合本国产品标准的声明函.pdf</w:t>
      </w:r>
    </w:p>
    <w:p>
      <w:pPr>
        <w:pStyle w:val="null3"/>
        <w:ind w:firstLine="960"/>
      </w:pPr>
      <w:r>
        <w:rPr>
          <w:rFonts w:ascii="仿宋_GB2312" w:hAnsi="仿宋_GB2312" w:cs="仿宋_GB2312" w:eastAsia="仿宋_GB2312"/>
        </w:rPr>
        <w:t>详见附件：陕西省政府采购投标人拒绝政府采购领域商业贿赂承诺书.pdf</w:t>
      </w:r>
    </w:p>
    <w:p>
      <w:pPr>
        <w:pStyle w:val="null3"/>
        <w:ind w:firstLine="960"/>
      </w:pPr>
      <w:r>
        <w:rPr>
          <w:rFonts w:ascii="仿宋_GB2312" w:hAnsi="仿宋_GB2312" w:cs="仿宋_GB2312" w:eastAsia="仿宋_GB2312"/>
        </w:rPr>
        <w:t>详见附件：业绩一览表.pdf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详见附件：关于符合本国产品标准的声明函.pdf</w:t>
      </w:r>
    </w:p>
    <w:p>
      <w:pPr>
        <w:pStyle w:val="null3"/>
        <w:ind w:firstLine="960"/>
      </w:pPr>
      <w:r>
        <w:rPr>
          <w:rFonts w:ascii="仿宋_GB2312" w:hAnsi="仿宋_GB2312" w:cs="仿宋_GB2312" w:eastAsia="仿宋_GB2312"/>
        </w:rPr>
        <w:t>详见附件：陕西省政府采购投标人拒绝政府采购领域商业贿赂承诺书.pdf</w:t>
      </w:r>
    </w:p>
    <w:p>
      <w:pPr>
        <w:pStyle w:val="null3"/>
        <w:ind w:firstLine="960"/>
      </w:pPr>
      <w:r>
        <w:rPr>
          <w:rFonts w:ascii="仿宋_GB2312" w:hAnsi="仿宋_GB2312" w:cs="仿宋_GB2312" w:eastAsia="仿宋_GB2312"/>
        </w:rPr>
        <w:t>详见附件：业绩一览表.pdf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