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7ACA18">
      <w:pPr>
        <w:pStyle w:val="6"/>
        <w:adjustRightInd w:val="0"/>
        <w:snapToGrid w:val="0"/>
        <w:spacing w:line="360" w:lineRule="auto"/>
        <w:jc w:val="center"/>
        <w:outlineLvl w:val="1"/>
        <w:rPr>
          <w:rFonts w:hint="eastAsia" w:ascii="方正小标宋简体" w:hAnsi="方正小标宋简体" w:eastAsia="方正小标宋简体" w:cs="方正小标宋简体"/>
          <w:b w:val="0"/>
          <w:bCs/>
          <w:sz w:val="36"/>
          <w:szCs w:val="36"/>
        </w:rPr>
      </w:pPr>
      <w:bookmarkStart w:id="0" w:name="_GoBack"/>
      <w:bookmarkEnd w:id="0"/>
      <w:r>
        <w:rPr>
          <w:rFonts w:hint="eastAsia" w:ascii="仿宋" w:hAnsi="仿宋" w:eastAsia="仿宋" w:cs="仿宋"/>
          <w:b/>
          <w:bCs w:val="0"/>
          <w:sz w:val="36"/>
          <w:szCs w:val="36"/>
        </w:rPr>
        <w:t>拟签订合同文本</w:t>
      </w:r>
    </w:p>
    <w:p w14:paraId="40125934">
      <w:pPr>
        <w:pageBreakBefore w:val="0"/>
        <w:tabs>
          <w:tab w:val="left" w:pos="5040"/>
        </w:tabs>
        <w:bidi w:val="0"/>
        <w:spacing w:line="360" w:lineRule="auto"/>
        <w:ind w:firstLine="1960" w:firstLineChars="700"/>
        <w:rPr>
          <w:rFonts w:hint="eastAsia" w:ascii="仿宋" w:hAnsi="仿宋" w:eastAsia="仿宋" w:cs="仿宋"/>
          <w:sz w:val="28"/>
          <w:szCs w:val="28"/>
          <w:highlight w:val="none"/>
        </w:rPr>
      </w:pPr>
      <w:r>
        <w:rPr>
          <w:rFonts w:hint="eastAsia" w:ascii="仿宋" w:hAnsi="仿宋" w:eastAsia="仿宋" w:cs="仿宋"/>
          <w:sz w:val="28"/>
          <w:szCs w:val="28"/>
          <w:highlight w:val="none"/>
        </w:rPr>
        <w:t>(最终以甲乙双方实际协商签定协议为准)</w:t>
      </w:r>
    </w:p>
    <w:p w14:paraId="5F461CA4">
      <w:pPr>
        <w:spacing w:line="360" w:lineRule="auto"/>
        <w:ind w:firstLine="235" w:firstLineChars="100"/>
        <w:jc w:val="center"/>
        <w:rPr>
          <w:rFonts w:hint="eastAsia" w:ascii="仿宋" w:hAnsi="仿宋" w:eastAsia="仿宋" w:cs="仿宋"/>
          <w:b/>
          <w:bCs/>
          <w:color w:val="000000"/>
          <w:spacing w:val="-3"/>
          <w:sz w:val="24"/>
          <w:szCs w:val="24"/>
          <w:highlight w:val="none"/>
          <w:lang w:val="en-US" w:eastAsia="zh-CN"/>
        </w:rPr>
      </w:pPr>
      <w:r>
        <w:rPr>
          <w:rFonts w:hint="eastAsia" w:ascii="仿宋" w:hAnsi="仿宋" w:eastAsia="仿宋" w:cs="仿宋"/>
          <w:b/>
          <w:bCs/>
          <w:color w:val="000000"/>
          <w:spacing w:val="-3"/>
          <w:sz w:val="24"/>
          <w:szCs w:val="24"/>
          <w:highlight w:val="none"/>
          <w:lang w:val="en-US" w:eastAsia="zh-CN"/>
        </w:rPr>
        <w:t>2025年高标准农田建设项目土壤改良采购</w:t>
      </w:r>
      <w:r>
        <w:rPr>
          <w:rFonts w:hint="eastAsia" w:ascii="仿宋" w:hAnsi="仿宋" w:eastAsia="仿宋" w:cs="仿宋"/>
          <w:b/>
          <w:bCs/>
          <w:color w:val="000000"/>
          <w:spacing w:val="-3"/>
          <w:sz w:val="24"/>
          <w:szCs w:val="24"/>
          <w:highlight w:val="none"/>
          <w:u w:val="single"/>
          <w:lang w:val="en-US" w:eastAsia="zh-CN"/>
        </w:rPr>
        <w:t xml:space="preserve">   </w:t>
      </w:r>
      <w:r>
        <w:rPr>
          <w:rFonts w:hint="eastAsia" w:ascii="仿宋" w:hAnsi="仿宋" w:eastAsia="仿宋" w:cs="仿宋"/>
          <w:b/>
          <w:bCs/>
          <w:color w:val="000000"/>
          <w:spacing w:val="-3"/>
          <w:sz w:val="24"/>
          <w:szCs w:val="24"/>
          <w:highlight w:val="none"/>
          <w:lang w:val="en-US" w:eastAsia="zh-CN"/>
        </w:rPr>
        <w:t>标段</w:t>
      </w:r>
    </w:p>
    <w:p w14:paraId="5EDA670E">
      <w:pPr>
        <w:keepNext w:val="0"/>
        <w:keepLines w:val="0"/>
        <w:pageBreakBefore w:val="0"/>
        <w:widowControl w:val="0"/>
        <w:kinsoku/>
        <w:wordWrap/>
        <w:overflowPunct/>
        <w:topLinePunct w:val="0"/>
        <w:autoSpaceDE/>
        <w:autoSpaceDN/>
        <w:bidi w:val="0"/>
        <w:adjustRightInd/>
        <w:snapToGrid/>
        <w:spacing w:after="0" w:line="360" w:lineRule="auto"/>
        <w:ind w:right="0" w:firstLine="480" w:firstLineChars="200"/>
        <w:jc w:val="both"/>
        <w:textAlignment w:val="auto"/>
        <w:rPr>
          <w:rFonts w:hint="eastAsia" w:ascii="仿宋" w:hAnsi="仿宋" w:eastAsia="仿宋" w:cs="仿宋"/>
          <w:b w:val="0"/>
          <w:bCs w:val="0"/>
          <w:color w:val="000000"/>
          <w:spacing w:val="0"/>
          <w:sz w:val="24"/>
          <w:szCs w:val="24"/>
          <w:highlight w:val="none"/>
          <w:u w:val="single"/>
          <w:lang w:val="en-US" w:eastAsia="zh-CN"/>
        </w:rPr>
      </w:pPr>
      <w:r>
        <w:rPr>
          <w:rFonts w:hint="eastAsia" w:ascii="仿宋" w:hAnsi="仿宋" w:eastAsia="仿宋" w:cs="仿宋"/>
          <w:b w:val="0"/>
          <w:bCs w:val="0"/>
          <w:color w:val="000000"/>
          <w:spacing w:val="0"/>
          <w:sz w:val="24"/>
          <w:szCs w:val="24"/>
          <w:highlight w:val="none"/>
          <w:lang w:val="en-US" w:eastAsia="zh-CN"/>
        </w:rPr>
        <w:t>甲方：</w:t>
      </w:r>
      <w:r>
        <w:rPr>
          <w:rFonts w:hint="eastAsia" w:ascii="仿宋" w:hAnsi="仿宋" w:eastAsia="仿宋" w:cs="仿宋"/>
          <w:b w:val="0"/>
          <w:bCs w:val="0"/>
          <w:color w:val="000000"/>
          <w:spacing w:val="0"/>
          <w:sz w:val="24"/>
          <w:szCs w:val="24"/>
          <w:highlight w:val="none"/>
          <w:u w:val="single"/>
          <w:lang w:val="en-US" w:eastAsia="zh-CN"/>
        </w:rPr>
        <w:t xml:space="preserve">                  </w:t>
      </w:r>
    </w:p>
    <w:p w14:paraId="461295B5">
      <w:pPr>
        <w:keepNext w:val="0"/>
        <w:keepLines w:val="0"/>
        <w:pageBreakBefore w:val="0"/>
        <w:widowControl w:val="0"/>
        <w:kinsoku/>
        <w:wordWrap/>
        <w:overflowPunct/>
        <w:topLinePunct w:val="0"/>
        <w:autoSpaceDE/>
        <w:autoSpaceDN/>
        <w:bidi w:val="0"/>
        <w:adjustRightInd/>
        <w:snapToGrid/>
        <w:spacing w:after="0" w:line="360" w:lineRule="auto"/>
        <w:ind w:right="0" w:firstLine="480" w:firstLineChars="200"/>
        <w:jc w:val="both"/>
        <w:textAlignment w:val="auto"/>
        <w:rPr>
          <w:rFonts w:hint="eastAsia" w:ascii="仿宋" w:hAnsi="仿宋" w:eastAsia="仿宋" w:cs="仿宋"/>
          <w:b w:val="0"/>
          <w:bCs w:val="0"/>
          <w:color w:val="000000"/>
          <w:spacing w:val="0"/>
          <w:sz w:val="24"/>
          <w:szCs w:val="24"/>
          <w:highlight w:val="none"/>
          <w:lang w:val="en-US" w:eastAsia="zh-CN"/>
        </w:rPr>
      </w:pPr>
      <w:r>
        <w:rPr>
          <w:rFonts w:hint="eastAsia" w:ascii="仿宋" w:hAnsi="仿宋" w:eastAsia="仿宋" w:cs="仿宋"/>
          <w:b w:val="0"/>
          <w:bCs w:val="0"/>
          <w:color w:val="000000"/>
          <w:spacing w:val="0"/>
          <w:sz w:val="24"/>
          <w:szCs w:val="24"/>
          <w:highlight w:val="none"/>
          <w:lang w:val="en-US" w:eastAsia="zh-CN"/>
        </w:rPr>
        <w:t>乙方：</w:t>
      </w:r>
      <w:r>
        <w:rPr>
          <w:rFonts w:hint="eastAsia" w:ascii="仿宋" w:hAnsi="仿宋" w:eastAsia="仿宋" w:cs="仿宋"/>
          <w:b w:val="0"/>
          <w:bCs w:val="0"/>
          <w:color w:val="000000"/>
          <w:spacing w:val="0"/>
          <w:sz w:val="24"/>
          <w:szCs w:val="24"/>
          <w:highlight w:val="none"/>
          <w:u w:val="single"/>
          <w:lang w:val="en-US" w:eastAsia="zh-CN"/>
        </w:rPr>
        <w:t xml:space="preserve">                  </w:t>
      </w:r>
    </w:p>
    <w:p w14:paraId="7D7A0F26">
      <w:pPr>
        <w:keepNext w:val="0"/>
        <w:keepLines w:val="0"/>
        <w:pageBreakBefore w:val="0"/>
        <w:widowControl w:val="0"/>
        <w:kinsoku/>
        <w:wordWrap/>
        <w:overflowPunct/>
        <w:topLinePunct w:val="0"/>
        <w:autoSpaceDE/>
        <w:autoSpaceDN/>
        <w:bidi w:val="0"/>
        <w:adjustRightInd/>
        <w:snapToGrid/>
        <w:spacing w:after="0" w:line="360" w:lineRule="auto"/>
        <w:ind w:right="0" w:firstLine="480" w:firstLineChars="200"/>
        <w:jc w:val="both"/>
        <w:textAlignment w:val="auto"/>
        <w:rPr>
          <w:rFonts w:hint="eastAsia" w:ascii="仿宋" w:hAnsi="仿宋" w:eastAsia="仿宋" w:cs="仿宋"/>
          <w:b w:val="0"/>
          <w:bCs w:val="0"/>
          <w:color w:val="000000"/>
          <w:spacing w:val="-3"/>
          <w:sz w:val="24"/>
          <w:szCs w:val="24"/>
          <w:highlight w:val="none"/>
          <w:lang w:val="en-US" w:eastAsia="zh-CN"/>
        </w:rPr>
      </w:pPr>
      <w:r>
        <w:rPr>
          <w:rFonts w:hint="eastAsia" w:ascii="仿宋" w:hAnsi="仿宋" w:eastAsia="仿宋" w:cs="仿宋"/>
          <w:b w:val="0"/>
          <w:bCs w:val="0"/>
          <w:color w:val="000000"/>
          <w:spacing w:val="0"/>
          <w:sz w:val="24"/>
          <w:szCs w:val="24"/>
          <w:highlight w:val="none"/>
          <w:u w:val="single"/>
          <w:lang w:val="en-US" w:eastAsia="zh-CN"/>
        </w:rPr>
        <w:t xml:space="preserve">           （采购人）</w:t>
      </w:r>
      <w:r>
        <w:rPr>
          <w:rFonts w:hint="eastAsia" w:ascii="仿宋" w:hAnsi="仿宋" w:eastAsia="仿宋" w:cs="仿宋"/>
          <w:b w:val="0"/>
          <w:bCs w:val="0"/>
          <w:color w:val="000000"/>
          <w:spacing w:val="0"/>
          <w:sz w:val="24"/>
          <w:szCs w:val="24"/>
          <w:highlight w:val="none"/>
          <w:lang w:val="en-US" w:eastAsia="zh-CN"/>
        </w:rPr>
        <w:t>就</w:t>
      </w:r>
      <w:r>
        <w:rPr>
          <w:rFonts w:hint="eastAsia" w:ascii="仿宋" w:hAnsi="仿宋" w:eastAsia="仿宋" w:cs="仿宋"/>
          <w:b w:val="0"/>
          <w:bCs w:val="0"/>
          <w:color w:val="000000"/>
          <w:spacing w:val="0"/>
          <w:sz w:val="24"/>
          <w:szCs w:val="24"/>
          <w:highlight w:val="none"/>
          <w:u w:val="single"/>
          <w:lang w:val="en-US" w:eastAsia="zh-CN"/>
        </w:rPr>
        <w:t>2025年高标准农田建设项目土壤改良采购   标段</w:t>
      </w:r>
      <w:r>
        <w:rPr>
          <w:rFonts w:hint="eastAsia" w:ascii="仿宋" w:hAnsi="仿宋" w:eastAsia="仿宋" w:cs="仿宋"/>
          <w:b w:val="0"/>
          <w:bCs w:val="0"/>
          <w:color w:val="000000"/>
          <w:spacing w:val="0"/>
          <w:sz w:val="24"/>
          <w:szCs w:val="24"/>
          <w:highlight w:val="none"/>
          <w:lang w:val="en-US" w:eastAsia="zh-CN"/>
        </w:rPr>
        <w:t>，经公开招标，接受了</w:t>
      </w:r>
      <w:r>
        <w:rPr>
          <w:rFonts w:hint="eastAsia" w:ascii="仿宋" w:hAnsi="仿宋" w:eastAsia="仿宋" w:cs="仿宋"/>
          <w:b w:val="0"/>
          <w:bCs w:val="0"/>
          <w:color w:val="000000"/>
          <w:spacing w:val="-3"/>
          <w:sz w:val="24"/>
          <w:szCs w:val="24"/>
          <w:highlight w:val="none"/>
          <w:u w:val="single"/>
          <w:lang w:val="en-US" w:eastAsia="zh-CN"/>
        </w:rPr>
        <w:t xml:space="preserve">               （供应商）</w:t>
      </w:r>
      <w:r>
        <w:rPr>
          <w:rFonts w:hint="eastAsia" w:ascii="仿宋" w:hAnsi="仿宋" w:eastAsia="仿宋" w:cs="仿宋"/>
          <w:b w:val="0"/>
          <w:bCs w:val="0"/>
          <w:color w:val="000000"/>
          <w:spacing w:val="-3"/>
          <w:sz w:val="24"/>
          <w:szCs w:val="24"/>
          <w:highlight w:val="none"/>
          <w:lang w:val="en-US" w:eastAsia="zh-CN"/>
        </w:rPr>
        <w:t>的投标，</w:t>
      </w:r>
      <w:r>
        <w:rPr>
          <w:rFonts w:hint="eastAsia" w:ascii="仿宋" w:hAnsi="仿宋" w:eastAsia="仿宋" w:cs="仿宋"/>
          <w:b w:val="0"/>
          <w:bCs w:val="0"/>
          <w:color w:val="000000"/>
          <w:spacing w:val="0"/>
          <w:sz w:val="24"/>
          <w:szCs w:val="24"/>
          <w:highlight w:val="none"/>
          <w:lang w:val="en-US" w:eastAsia="zh-CN"/>
        </w:rPr>
        <w:t>经双方充分协商，达成如下合同：</w:t>
      </w:r>
    </w:p>
    <w:p w14:paraId="7C4F1181">
      <w:pPr>
        <w:keepNext w:val="0"/>
        <w:keepLines w:val="0"/>
        <w:pageBreakBefore w:val="0"/>
        <w:numPr>
          <w:ilvl w:val="0"/>
          <w:numId w:val="0"/>
        </w:numPr>
        <w:wordWrap/>
        <w:overflowPunct/>
        <w:topLinePunct w:val="0"/>
        <w:bidi w:val="0"/>
        <w:spacing w:line="360" w:lineRule="auto"/>
        <w:ind w:firstLine="468" w:firstLineChars="200"/>
        <w:jc w:val="both"/>
        <w:rPr>
          <w:rFonts w:hint="eastAsia" w:ascii="黑体" w:hAnsi="黑体" w:eastAsia="黑体" w:cs="黑体"/>
          <w:b w:val="0"/>
          <w:bCs w:val="0"/>
          <w:color w:val="000000"/>
          <w:spacing w:val="-3"/>
          <w:sz w:val="24"/>
          <w:szCs w:val="24"/>
          <w:highlight w:val="none"/>
          <w:lang w:val="en-US" w:eastAsia="zh-CN"/>
        </w:rPr>
      </w:pPr>
      <w:r>
        <w:rPr>
          <w:rFonts w:hint="eastAsia" w:ascii="黑体" w:hAnsi="黑体" w:eastAsia="黑体" w:cs="黑体"/>
          <w:b w:val="0"/>
          <w:bCs w:val="0"/>
          <w:snapToGrid w:val="0"/>
          <w:color w:val="000000"/>
          <w:spacing w:val="-3"/>
          <w:sz w:val="24"/>
          <w:szCs w:val="24"/>
          <w:lang w:val="en-US" w:eastAsia="zh-CN" w:bidi="ar-SA"/>
        </w:rPr>
        <w:t>一、</w:t>
      </w:r>
      <w:r>
        <w:rPr>
          <w:rFonts w:hint="eastAsia" w:ascii="黑体" w:hAnsi="黑体" w:eastAsia="黑体" w:cs="黑体"/>
          <w:b w:val="0"/>
          <w:bCs w:val="0"/>
          <w:color w:val="000000"/>
          <w:spacing w:val="-3"/>
          <w:sz w:val="24"/>
          <w:szCs w:val="24"/>
          <w:highlight w:val="none"/>
          <w:lang w:val="en-US" w:eastAsia="zh-CN"/>
        </w:rPr>
        <w:t>合同价款</w:t>
      </w:r>
    </w:p>
    <w:p w14:paraId="6965F674">
      <w:pPr>
        <w:keepNext w:val="0"/>
        <w:keepLines w:val="0"/>
        <w:pageBreakBefore w:val="0"/>
        <w:wordWrap/>
        <w:overflowPunct/>
        <w:topLinePunct w:val="0"/>
        <w:bidi w:val="0"/>
        <w:spacing w:after="0" w:line="360" w:lineRule="auto"/>
        <w:ind w:right="0" w:firstLine="480" w:firstLineChars="200"/>
        <w:jc w:val="left"/>
        <w:rPr>
          <w:rFonts w:hint="eastAsia" w:ascii="仿宋" w:hAnsi="仿宋" w:eastAsia="仿宋" w:cs="仿宋"/>
          <w:color w:val="000000"/>
          <w:spacing w:val="0"/>
          <w:sz w:val="24"/>
          <w:szCs w:val="24"/>
          <w:highlight w:val="none"/>
          <w:lang w:val="en-US" w:eastAsia="zh-CN"/>
        </w:rPr>
      </w:pPr>
      <w:r>
        <w:rPr>
          <w:rFonts w:hint="eastAsia" w:ascii="仿宋" w:hAnsi="仿宋" w:eastAsia="仿宋" w:cs="仿宋"/>
          <w:color w:val="000000"/>
          <w:spacing w:val="0"/>
          <w:sz w:val="24"/>
          <w:szCs w:val="24"/>
          <w:highlight w:val="none"/>
          <w:lang w:val="en-US" w:eastAsia="zh-CN"/>
        </w:rPr>
        <w:t>1.合同造价：人民币:大写：</w:t>
      </w:r>
      <w:r>
        <w:rPr>
          <w:rFonts w:hint="eastAsia" w:ascii="仿宋" w:hAnsi="仿宋" w:eastAsia="仿宋" w:cs="仿宋"/>
          <w:color w:val="000000"/>
          <w:spacing w:val="0"/>
          <w:sz w:val="24"/>
          <w:szCs w:val="24"/>
          <w:highlight w:val="none"/>
          <w:u w:val="single"/>
          <w:lang w:val="en-US" w:eastAsia="zh-CN"/>
        </w:rPr>
        <w:t xml:space="preserve">                 </w:t>
      </w:r>
      <w:r>
        <w:rPr>
          <w:rFonts w:hint="eastAsia" w:ascii="仿宋" w:hAnsi="仿宋" w:eastAsia="仿宋" w:cs="仿宋"/>
          <w:color w:val="000000"/>
          <w:spacing w:val="0"/>
          <w:sz w:val="24"/>
          <w:szCs w:val="24"/>
          <w:highlight w:val="none"/>
          <w:lang w:val="en-US" w:eastAsia="zh-CN"/>
        </w:rPr>
        <w:t>（小写：</w:t>
      </w:r>
      <w:r>
        <w:rPr>
          <w:rFonts w:hint="eastAsia" w:ascii="仿宋" w:hAnsi="仿宋" w:eastAsia="仿宋" w:cs="仿宋"/>
          <w:color w:val="000000"/>
          <w:spacing w:val="0"/>
          <w:sz w:val="24"/>
          <w:szCs w:val="24"/>
          <w:highlight w:val="none"/>
          <w:u w:val="single"/>
          <w:lang w:val="en-US" w:eastAsia="zh-CN"/>
        </w:rPr>
        <w:t xml:space="preserve">         </w:t>
      </w:r>
      <w:r>
        <w:rPr>
          <w:rFonts w:hint="eastAsia" w:ascii="仿宋" w:hAnsi="仿宋" w:eastAsia="仿宋" w:cs="仿宋"/>
          <w:color w:val="000000"/>
          <w:spacing w:val="0"/>
          <w:sz w:val="24"/>
          <w:szCs w:val="24"/>
          <w:highlight w:val="none"/>
          <w:lang w:val="en-US" w:eastAsia="zh-CN"/>
        </w:rPr>
        <w:t>元)</w:t>
      </w:r>
    </w:p>
    <w:p w14:paraId="5DADC604">
      <w:pPr>
        <w:keepNext w:val="0"/>
        <w:keepLines w:val="0"/>
        <w:pageBreakBefore w:val="0"/>
        <w:widowControl w:val="0"/>
        <w:kinsoku/>
        <w:wordWrap/>
        <w:overflowPunct/>
        <w:topLinePunct w:val="0"/>
        <w:autoSpaceDE/>
        <w:autoSpaceDN/>
        <w:bidi w:val="0"/>
        <w:adjustRightInd/>
        <w:snapToGrid/>
        <w:spacing w:after="0" w:line="360" w:lineRule="auto"/>
        <w:ind w:right="0" w:firstLine="480" w:firstLineChars="200"/>
        <w:jc w:val="both"/>
        <w:textAlignment w:val="auto"/>
        <w:rPr>
          <w:rFonts w:hint="eastAsia" w:ascii="仿宋" w:hAnsi="仿宋" w:eastAsia="仿宋" w:cs="仿宋"/>
          <w:color w:val="000000"/>
          <w:spacing w:val="0"/>
          <w:sz w:val="24"/>
          <w:szCs w:val="24"/>
          <w:highlight w:val="none"/>
          <w:lang w:val="en-US" w:eastAsia="zh-CN"/>
        </w:rPr>
      </w:pPr>
      <w:r>
        <w:rPr>
          <w:rFonts w:hint="eastAsia" w:ascii="仿宋" w:hAnsi="仿宋" w:eastAsia="仿宋" w:cs="仿宋"/>
          <w:color w:val="000000"/>
          <w:spacing w:val="0"/>
          <w:sz w:val="24"/>
          <w:szCs w:val="24"/>
          <w:highlight w:val="none"/>
          <w:lang w:val="en-US" w:eastAsia="zh-CN"/>
        </w:rPr>
        <w:t>2.合同造价包括：样点布设、样点采集、监测数据汇总、肥料供应及装运卸发放，实施方案及成果等项目资料汇编及其它相关的费用。</w:t>
      </w:r>
    </w:p>
    <w:p w14:paraId="5C7736A6">
      <w:pPr>
        <w:keepNext w:val="0"/>
        <w:keepLines w:val="0"/>
        <w:pageBreakBefore w:val="0"/>
        <w:widowControl w:val="0"/>
        <w:kinsoku/>
        <w:wordWrap/>
        <w:overflowPunct/>
        <w:topLinePunct w:val="0"/>
        <w:autoSpaceDE/>
        <w:autoSpaceDN/>
        <w:bidi w:val="0"/>
        <w:adjustRightInd/>
        <w:snapToGrid/>
        <w:spacing w:after="0" w:line="360" w:lineRule="auto"/>
        <w:ind w:right="0" w:firstLine="480" w:firstLineChars="200"/>
        <w:jc w:val="both"/>
        <w:textAlignment w:val="auto"/>
        <w:rPr>
          <w:rFonts w:hint="eastAsia" w:ascii="仿宋" w:hAnsi="仿宋" w:eastAsia="仿宋" w:cs="仿宋"/>
          <w:b w:val="0"/>
          <w:bCs w:val="0"/>
          <w:i w:val="0"/>
          <w:iCs w:val="0"/>
          <w:caps w:val="0"/>
          <w:color w:val="333333"/>
          <w:spacing w:val="0"/>
          <w:sz w:val="24"/>
          <w:szCs w:val="24"/>
          <w:highlight w:val="none"/>
          <w:shd w:val="clear" w:color="auto" w:fill="FFFFFF"/>
          <w:lang w:val="en-US" w:eastAsia="zh-CN"/>
        </w:rPr>
      </w:pPr>
      <w:r>
        <w:rPr>
          <w:rFonts w:hint="eastAsia" w:ascii="仿宋" w:hAnsi="仿宋" w:eastAsia="仿宋" w:cs="仿宋"/>
          <w:color w:val="000000"/>
          <w:spacing w:val="0"/>
          <w:sz w:val="24"/>
          <w:szCs w:val="24"/>
          <w:highlight w:val="none"/>
          <w:lang w:val="en-US" w:eastAsia="zh-CN"/>
        </w:rPr>
        <w:t>3.合同价格一次包干，不受市场价格变化的影响</w:t>
      </w:r>
      <w:r>
        <w:rPr>
          <w:rFonts w:hint="eastAsia" w:ascii="仿宋" w:hAnsi="仿宋" w:eastAsia="仿宋" w:cs="仿宋"/>
          <w:b w:val="0"/>
          <w:bCs w:val="0"/>
          <w:i w:val="0"/>
          <w:iCs w:val="0"/>
          <w:caps w:val="0"/>
          <w:color w:val="333333"/>
          <w:spacing w:val="0"/>
          <w:sz w:val="24"/>
          <w:szCs w:val="24"/>
          <w:highlight w:val="none"/>
          <w:shd w:val="clear" w:color="auto" w:fill="FFFFFF"/>
          <w:lang w:val="en-US" w:eastAsia="zh-CN"/>
        </w:rPr>
        <w:t>。</w:t>
      </w:r>
    </w:p>
    <w:p w14:paraId="1247FEF7">
      <w:pPr>
        <w:keepNext w:val="0"/>
        <w:keepLines w:val="0"/>
        <w:pageBreakBefore w:val="0"/>
        <w:numPr>
          <w:ilvl w:val="0"/>
          <w:numId w:val="0"/>
        </w:numPr>
        <w:wordWrap/>
        <w:overflowPunct/>
        <w:topLinePunct w:val="0"/>
        <w:bidi w:val="0"/>
        <w:spacing w:line="360" w:lineRule="auto"/>
        <w:ind w:left="0" w:leftChars="0" w:firstLine="480" w:firstLineChars="200"/>
        <w:jc w:val="both"/>
        <w:rPr>
          <w:rFonts w:hint="eastAsia" w:ascii="黑体" w:hAnsi="黑体" w:eastAsia="黑体" w:cs="黑体"/>
          <w:b w:val="0"/>
          <w:bCs w:val="0"/>
          <w:i w:val="0"/>
          <w:iCs w:val="0"/>
          <w:caps w:val="0"/>
          <w:color w:val="333333"/>
          <w:spacing w:val="0"/>
          <w:sz w:val="24"/>
          <w:szCs w:val="24"/>
          <w:highlight w:val="none"/>
          <w:shd w:val="clear" w:color="auto" w:fill="FFFFFF"/>
          <w:lang w:val="en-US" w:eastAsia="zh-CN"/>
        </w:rPr>
      </w:pPr>
      <w:r>
        <w:rPr>
          <w:rFonts w:hint="eastAsia" w:ascii="黑体" w:hAnsi="黑体" w:eastAsia="黑体" w:cs="黑体"/>
          <w:b w:val="0"/>
          <w:bCs w:val="0"/>
          <w:i w:val="0"/>
          <w:iCs w:val="0"/>
          <w:caps w:val="0"/>
          <w:snapToGrid w:val="0"/>
          <w:color w:val="333333"/>
          <w:spacing w:val="0"/>
          <w:sz w:val="24"/>
          <w:szCs w:val="24"/>
          <w:shd w:val="clear" w:color="auto" w:fill="FFFFFF"/>
          <w:lang w:val="en-US" w:eastAsia="zh-CN" w:bidi="ar-SA"/>
        </w:rPr>
        <w:t>二、</w:t>
      </w:r>
      <w:r>
        <w:rPr>
          <w:rFonts w:hint="eastAsia" w:ascii="黑体" w:hAnsi="黑体" w:eastAsia="黑体" w:cs="黑体"/>
          <w:b w:val="0"/>
          <w:bCs w:val="0"/>
          <w:i w:val="0"/>
          <w:iCs w:val="0"/>
          <w:caps w:val="0"/>
          <w:color w:val="333333"/>
          <w:spacing w:val="0"/>
          <w:sz w:val="24"/>
          <w:szCs w:val="24"/>
          <w:highlight w:val="none"/>
          <w:shd w:val="clear" w:color="auto" w:fill="FFFFFF"/>
          <w:lang w:val="en-US" w:eastAsia="zh-CN"/>
        </w:rPr>
        <w:t>执行标准、技术参数、数量及工程清单（见下表）</w:t>
      </w:r>
    </w:p>
    <w:tbl>
      <w:tblPr>
        <w:tblStyle w:val="8"/>
        <w:tblW w:w="913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56"/>
        <w:gridCol w:w="946"/>
        <w:gridCol w:w="1162"/>
        <w:gridCol w:w="1348"/>
        <w:gridCol w:w="1179"/>
        <w:gridCol w:w="1292"/>
        <w:gridCol w:w="1025"/>
        <w:gridCol w:w="1028"/>
      </w:tblGrid>
      <w:tr w14:paraId="56E827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jc w:val="center"/>
        </w:trPr>
        <w:tc>
          <w:tcPr>
            <w:tcW w:w="1156" w:type="dxa"/>
            <w:noWrap w:val="0"/>
            <w:vAlign w:val="center"/>
          </w:tcPr>
          <w:p w14:paraId="6908D218">
            <w:pPr>
              <w:pStyle w:val="7"/>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rPr>
                <w:rFonts w:hint="eastAsia" w:ascii="仿宋" w:hAnsi="仿宋" w:eastAsia="仿宋" w:cs="仿宋"/>
                <w:sz w:val="24"/>
                <w:szCs w:val="24"/>
                <w:highlight w:val="none"/>
              </w:rPr>
            </w:pPr>
            <w:r>
              <w:rPr>
                <w:rFonts w:hint="eastAsia" w:ascii="仿宋" w:hAnsi="仿宋" w:eastAsia="仿宋" w:cs="仿宋"/>
                <w:spacing w:val="-9"/>
                <w:sz w:val="24"/>
                <w:szCs w:val="24"/>
                <w:highlight w:val="none"/>
              </w:rPr>
              <w:t>序号</w:t>
            </w:r>
          </w:p>
        </w:tc>
        <w:tc>
          <w:tcPr>
            <w:tcW w:w="946" w:type="dxa"/>
            <w:noWrap w:val="0"/>
            <w:vAlign w:val="center"/>
          </w:tcPr>
          <w:p w14:paraId="5E779081">
            <w:pPr>
              <w:pStyle w:val="7"/>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rPr>
                <w:rFonts w:hint="eastAsia" w:ascii="仿宋" w:hAnsi="仿宋" w:eastAsia="仿宋" w:cs="仿宋"/>
                <w:sz w:val="24"/>
                <w:szCs w:val="24"/>
                <w:highlight w:val="none"/>
              </w:rPr>
            </w:pPr>
            <w:r>
              <w:rPr>
                <w:rFonts w:hint="eastAsia" w:ascii="仿宋" w:hAnsi="仿宋" w:eastAsia="仿宋" w:cs="仿宋"/>
                <w:spacing w:val="-9"/>
                <w:sz w:val="24"/>
                <w:szCs w:val="24"/>
                <w:highlight w:val="none"/>
              </w:rPr>
              <w:t>名称</w:t>
            </w:r>
          </w:p>
        </w:tc>
        <w:tc>
          <w:tcPr>
            <w:tcW w:w="1162" w:type="dxa"/>
            <w:noWrap w:val="0"/>
            <w:vAlign w:val="center"/>
          </w:tcPr>
          <w:p w14:paraId="2D9A1898">
            <w:pPr>
              <w:pStyle w:val="7"/>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rPr>
                <w:rFonts w:hint="eastAsia" w:ascii="仿宋" w:hAnsi="仿宋" w:eastAsia="仿宋" w:cs="仿宋"/>
                <w:sz w:val="24"/>
                <w:szCs w:val="24"/>
                <w:highlight w:val="none"/>
              </w:rPr>
            </w:pPr>
            <w:r>
              <w:rPr>
                <w:rFonts w:hint="eastAsia" w:ascii="仿宋" w:hAnsi="仿宋" w:eastAsia="仿宋" w:cs="仿宋"/>
                <w:spacing w:val="-8"/>
                <w:sz w:val="24"/>
                <w:szCs w:val="24"/>
                <w:highlight w:val="none"/>
              </w:rPr>
              <w:t>规格</w:t>
            </w:r>
          </w:p>
        </w:tc>
        <w:tc>
          <w:tcPr>
            <w:tcW w:w="1348" w:type="dxa"/>
            <w:noWrap w:val="0"/>
            <w:vAlign w:val="center"/>
          </w:tcPr>
          <w:p w14:paraId="3ADF7037">
            <w:pPr>
              <w:pStyle w:val="7"/>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rPr>
                <w:rFonts w:hint="eastAsia" w:ascii="仿宋" w:hAnsi="仿宋" w:eastAsia="仿宋" w:cs="仿宋"/>
                <w:sz w:val="24"/>
                <w:szCs w:val="24"/>
                <w:highlight w:val="none"/>
              </w:rPr>
            </w:pPr>
            <w:r>
              <w:rPr>
                <w:rFonts w:hint="eastAsia" w:ascii="仿宋" w:hAnsi="仿宋" w:eastAsia="仿宋" w:cs="仿宋"/>
                <w:spacing w:val="-8"/>
                <w:sz w:val="24"/>
                <w:szCs w:val="24"/>
                <w:highlight w:val="none"/>
              </w:rPr>
              <w:t>包装形式</w:t>
            </w:r>
          </w:p>
        </w:tc>
        <w:tc>
          <w:tcPr>
            <w:tcW w:w="1179" w:type="dxa"/>
            <w:noWrap w:val="0"/>
            <w:vAlign w:val="center"/>
          </w:tcPr>
          <w:p w14:paraId="372531D8">
            <w:pPr>
              <w:pStyle w:val="7"/>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rPr>
                <w:rFonts w:hint="eastAsia" w:ascii="仿宋" w:hAnsi="仿宋" w:eastAsia="仿宋" w:cs="仿宋"/>
                <w:sz w:val="24"/>
                <w:szCs w:val="24"/>
                <w:highlight w:val="none"/>
              </w:rPr>
            </w:pPr>
            <w:r>
              <w:rPr>
                <w:rFonts w:hint="eastAsia" w:ascii="仿宋" w:hAnsi="仿宋" w:eastAsia="仿宋" w:cs="仿宋"/>
                <w:spacing w:val="-24"/>
                <w:sz w:val="24"/>
                <w:szCs w:val="24"/>
                <w:highlight w:val="none"/>
              </w:rPr>
              <w:t>品牌</w:t>
            </w:r>
          </w:p>
        </w:tc>
        <w:tc>
          <w:tcPr>
            <w:tcW w:w="1292" w:type="dxa"/>
            <w:noWrap w:val="0"/>
            <w:vAlign w:val="center"/>
          </w:tcPr>
          <w:p w14:paraId="3CF39725">
            <w:pPr>
              <w:pStyle w:val="7"/>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rPr>
                <w:rFonts w:hint="eastAsia" w:ascii="仿宋" w:hAnsi="仿宋" w:eastAsia="仿宋" w:cs="仿宋"/>
                <w:sz w:val="24"/>
                <w:szCs w:val="24"/>
                <w:highlight w:val="none"/>
              </w:rPr>
            </w:pPr>
            <w:r>
              <w:rPr>
                <w:rFonts w:hint="eastAsia" w:ascii="仿宋" w:hAnsi="仿宋" w:eastAsia="仿宋" w:cs="仿宋"/>
                <w:spacing w:val="-8"/>
                <w:sz w:val="24"/>
                <w:szCs w:val="24"/>
                <w:highlight w:val="none"/>
              </w:rPr>
              <w:t>数量</w:t>
            </w:r>
          </w:p>
        </w:tc>
        <w:tc>
          <w:tcPr>
            <w:tcW w:w="1025" w:type="dxa"/>
            <w:noWrap w:val="0"/>
            <w:vAlign w:val="center"/>
          </w:tcPr>
          <w:p w14:paraId="05CA5994">
            <w:pPr>
              <w:pStyle w:val="7"/>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rPr>
                <w:rFonts w:hint="eastAsia" w:ascii="仿宋" w:hAnsi="仿宋" w:eastAsia="仿宋" w:cs="仿宋"/>
                <w:sz w:val="24"/>
                <w:szCs w:val="24"/>
                <w:highlight w:val="none"/>
              </w:rPr>
            </w:pPr>
            <w:r>
              <w:rPr>
                <w:rFonts w:hint="eastAsia" w:ascii="仿宋" w:hAnsi="仿宋" w:eastAsia="仿宋" w:cs="仿宋"/>
                <w:spacing w:val="-12"/>
                <w:sz w:val="24"/>
                <w:szCs w:val="24"/>
                <w:highlight w:val="none"/>
              </w:rPr>
              <w:t>单价</w:t>
            </w:r>
          </w:p>
        </w:tc>
        <w:tc>
          <w:tcPr>
            <w:tcW w:w="1028" w:type="dxa"/>
            <w:noWrap w:val="0"/>
            <w:vAlign w:val="center"/>
          </w:tcPr>
          <w:p w14:paraId="11580303">
            <w:pPr>
              <w:pStyle w:val="7"/>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rPr>
                <w:rFonts w:hint="eastAsia" w:ascii="仿宋" w:hAnsi="仿宋" w:eastAsia="仿宋" w:cs="仿宋"/>
                <w:sz w:val="24"/>
                <w:szCs w:val="24"/>
                <w:highlight w:val="none"/>
              </w:rPr>
            </w:pPr>
            <w:r>
              <w:rPr>
                <w:rFonts w:hint="eastAsia" w:ascii="仿宋" w:hAnsi="仿宋" w:eastAsia="仿宋" w:cs="仿宋"/>
                <w:spacing w:val="-15"/>
                <w:sz w:val="24"/>
                <w:szCs w:val="24"/>
                <w:highlight w:val="none"/>
              </w:rPr>
              <w:t>总价</w:t>
            </w:r>
          </w:p>
        </w:tc>
      </w:tr>
      <w:tr w14:paraId="19883A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jc w:val="center"/>
        </w:trPr>
        <w:tc>
          <w:tcPr>
            <w:tcW w:w="1156" w:type="dxa"/>
            <w:noWrap w:val="0"/>
            <w:vAlign w:val="top"/>
          </w:tcPr>
          <w:p w14:paraId="49EEB50E">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946" w:type="dxa"/>
            <w:noWrap w:val="0"/>
            <w:vAlign w:val="top"/>
          </w:tcPr>
          <w:p w14:paraId="7B1A69C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highlight w:val="none"/>
              </w:rPr>
            </w:pPr>
          </w:p>
        </w:tc>
        <w:tc>
          <w:tcPr>
            <w:tcW w:w="1162" w:type="dxa"/>
            <w:noWrap w:val="0"/>
            <w:vAlign w:val="top"/>
          </w:tcPr>
          <w:p w14:paraId="0B45864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highlight w:val="none"/>
              </w:rPr>
            </w:pPr>
          </w:p>
        </w:tc>
        <w:tc>
          <w:tcPr>
            <w:tcW w:w="1348" w:type="dxa"/>
            <w:noWrap w:val="0"/>
            <w:vAlign w:val="top"/>
          </w:tcPr>
          <w:p w14:paraId="604E3B2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highlight w:val="none"/>
              </w:rPr>
            </w:pPr>
          </w:p>
        </w:tc>
        <w:tc>
          <w:tcPr>
            <w:tcW w:w="1179" w:type="dxa"/>
            <w:noWrap w:val="0"/>
            <w:vAlign w:val="top"/>
          </w:tcPr>
          <w:p w14:paraId="20AEEEB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highlight w:val="none"/>
              </w:rPr>
            </w:pPr>
          </w:p>
        </w:tc>
        <w:tc>
          <w:tcPr>
            <w:tcW w:w="1292" w:type="dxa"/>
            <w:noWrap w:val="0"/>
            <w:vAlign w:val="top"/>
          </w:tcPr>
          <w:p w14:paraId="2064E49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highlight w:val="none"/>
              </w:rPr>
            </w:pPr>
          </w:p>
        </w:tc>
        <w:tc>
          <w:tcPr>
            <w:tcW w:w="1025" w:type="dxa"/>
            <w:noWrap w:val="0"/>
            <w:vAlign w:val="top"/>
          </w:tcPr>
          <w:p w14:paraId="79391CA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highlight w:val="none"/>
              </w:rPr>
            </w:pPr>
          </w:p>
        </w:tc>
        <w:tc>
          <w:tcPr>
            <w:tcW w:w="1028" w:type="dxa"/>
            <w:noWrap w:val="0"/>
            <w:vAlign w:val="top"/>
          </w:tcPr>
          <w:p w14:paraId="1C6EAFF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highlight w:val="none"/>
              </w:rPr>
            </w:pPr>
          </w:p>
        </w:tc>
      </w:tr>
      <w:tr w14:paraId="0DA7CF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jc w:val="center"/>
        </w:trPr>
        <w:tc>
          <w:tcPr>
            <w:tcW w:w="1156" w:type="dxa"/>
            <w:noWrap w:val="0"/>
            <w:vAlign w:val="top"/>
          </w:tcPr>
          <w:p w14:paraId="754FB3A0">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946" w:type="dxa"/>
            <w:noWrap w:val="0"/>
            <w:vAlign w:val="top"/>
          </w:tcPr>
          <w:p w14:paraId="7BCE033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highlight w:val="none"/>
              </w:rPr>
            </w:pPr>
          </w:p>
        </w:tc>
        <w:tc>
          <w:tcPr>
            <w:tcW w:w="1162" w:type="dxa"/>
            <w:noWrap w:val="0"/>
            <w:vAlign w:val="top"/>
          </w:tcPr>
          <w:p w14:paraId="7161608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highlight w:val="none"/>
              </w:rPr>
            </w:pPr>
          </w:p>
        </w:tc>
        <w:tc>
          <w:tcPr>
            <w:tcW w:w="1348" w:type="dxa"/>
            <w:noWrap w:val="0"/>
            <w:vAlign w:val="top"/>
          </w:tcPr>
          <w:p w14:paraId="722FFE0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highlight w:val="none"/>
              </w:rPr>
            </w:pPr>
          </w:p>
        </w:tc>
        <w:tc>
          <w:tcPr>
            <w:tcW w:w="1179" w:type="dxa"/>
            <w:noWrap w:val="0"/>
            <w:vAlign w:val="top"/>
          </w:tcPr>
          <w:p w14:paraId="7501AB9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highlight w:val="none"/>
              </w:rPr>
            </w:pPr>
          </w:p>
        </w:tc>
        <w:tc>
          <w:tcPr>
            <w:tcW w:w="1292" w:type="dxa"/>
            <w:noWrap w:val="0"/>
            <w:vAlign w:val="top"/>
          </w:tcPr>
          <w:p w14:paraId="78D7CCE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highlight w:val="none"/>
              </w:rPr>
            </w:pPr>
          </w:p>
        </w:tc>
        <w:tc>
          <w:tcPr>
            <w:tcW w:w="1025" w:type="dxa"/>
            <w:noWrap w:val="0"/>
            <w:vAlign w:val="top"/>
          </w:tcPr>
          <w:p w14:paraId="073D464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highlight w:val="none"/>
              </w:rPr>
            </w:pPr>
          </w:p>
        </w:tc>
        <w:tc>
          <w:tcPr>
            <w:tcW w:w="1028" w:type="dxa"/>
            <w:noWrap w:val="0"/>
            <w:vAlign w:val="top"/>
          </w:tcPr>
          <w:p w14:paraId="3A99F3B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highlight w:val="none"/>
              </w:rPr>
            </w:pPr>
          </w:p>
        </w:tc>
      </w:tr>
      <w:tr w14:paraId="6FAA8F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8" w:hRule="atLeast"/>
          <w:jc w:val="center"/>
        </w:trPr>
        <w:tc>
          <w:tcPr>
            <w:tcW w:w="1156" w:type="dxa"/>
            <w:noWrap w:val="0"/>
            <w:vAlign w:val="top"/>
          </w:tcPr>
          <w:p w14:paraId="4EC0751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highlight w:val="none"/>
              </w:rPr>
            </w:pPr>
          </w:p>
          <w:p w14:paraId="41499D07">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highlight w:val="none"/>
              </w:rPr>
            </w:pPr>
            <w:r>
              <w:rPr>
                <w:rFonts w:hint="eastAsia" w:ascii="仿宋" w:hAnsi="仿宋" w:eastAsia="仿宋" w:cs="仿宋"/>
                <w:position w:val="2"/>
                <w:sz w:val="24"/>
                <w:szCs w:val="24"/>
                <w:highlight w:val="none"/>
              </w:rPr>
              <w:t>..</w:t>
            </w:r>
          </w:p>
        </w:tc>
        <w:tc>
          <w:tcPr>
            <w:tcW w:w="946" w:type="dxa"/>
            <w:noWrap w:val="0"/>
            <w:vAlign w:val="top"/>
          </w:tcPr>
          <w:p w14:paraId="1892CC2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highlight w:val="none"/>
              </w:rPr>
            </w:pPr>
          </w:p>
        </w:tc>
        <w:tc>
          <w:tcPr>
            <w:tcW w:w="1162" w:type="dxa"/>
            <w:noWrap w:val="0"/>
            <w:vAlign w:val="top"/>
          </w:tcPr>
          <w:p w14:paraId="62E61AD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highlight w:val="none"/>
              </w:rPr>
            </w:pPr>
          </w:p>
        </w:tc>
        <w:tc>
          <w:tcPr>
            <w:tcW w:w="1348" w:type="dxa"/>
            <w:noWrap w:val="0"/>
            <w:vAlign w:val="top"/>
          </w:tcPr>
          <w:p w14:paraId="2B73BE0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highlight w:val="none"/>
              </w:rPr>
            </w:pPr>
          </w:p>
        </w:tc>
        <w:tc>
          <w:tcPr>
            <w:tcW w:w="1179" w:type="dxa"/>
            <w:noWrap w:val="0"/>
            <w:vAlign w:val="top"/>
          </w:tcPr>
          <w:p w14:paraId="4596CA8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highlight w:val="none"/>
              </w:rPr>
            </w:pPr>
          </w:p>
        </w:tc>
        <w:tc>
          <w:tcPr>
            <w:tcW w:w="1292" w:type="dxa"/>
            <w:noWrap w:val="0"/>
            <w:vAlign w:val="top"/>
          </w:tcPr>
          <w:p w14:paraId="45DB1A9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highlight w:val="none"/>
              </w:rPr>
            </w:pPr>
          </w:p>
        </w:tc>
        <w:tc>
          <w:tcPr>
            <w:tcW w:w="1025" w:type="dxa"/>
            <w:noWrap w:val="0"/>
            <w:vAlign w:val="top"/>
          </w:tcPr>
          <w:p w14:paraId="23DED27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highlight w:val="none"/>
              </w:rPr>
            </w:pPr>
          </w:p>
        </w:tc>
        <w:tc>
          <w:tcPr>
            <w:tcW w:w="1028" w:type="dxa"/>
            <w:noWrap w:val="0"/>
            <w:vAlign w:val="top"/>
          </w:tcPr>
          <w:p w14:paraId="28BEA72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highlight w:val="none"/>
              </w:rPr>
            </w:pPr>
          </w:p>
        </w:tc>
      </w:tr>
      <w:tr w14:paraId="1542DF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jc w:val="center"/>
        </w:trPr>
        <w:tc>
          <w:tcPr>
            <w:tcW w:w="1156" w:type="dxa"/>
            <w:noWrap w:val="0"/>
            <w:vAlign w:val="top"/>
          </w:tcPr>
          <w:p w14:paraId="6017B3A8">
            <w:pPr>
              <w:pStyle w:val="7"/>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8" w:firstLineChars="200"/>
              <w:textAlignment w:val="baseline"/>
              <w:rPr>
                <w:rFonts w:hint="eastAsia" w:ascii="仿宋" w:hAnsi="仿宋" w:eastAsia="仿宋" w:cs="仿宋"/>
                <w:sz w:val="24"/>
                <w:szCs w:val="24"/>
                <w:highlight w:val="none"/>
              </w:rPr>
            </w:pPr>
            <w:r>
              <w:rPr>
                <w:rFonts w:hint="eastAsia" w:ascii="仿宋" w:hAnsi="仿宋" w:eastAsia="仿宋" w:cs="仿宋"/>
                <w:spacing w:val="-13"/>
                <w:sz w:val="24"/>
                <w:szCs w:val="24"/>
                <w:highlight w:val="none"/>
              </w:rPr>
              <w:t>合计</w:t>
            </w:r>
          </w:p>
        </w:tc>
        <w:tc>
          <w:tcPr>
            <w:tcW w:w="946" w:type="dxa"/>
            <w:noWrap w:val="0"/>
            <w:vAlign w:val="top"/>
          </w:tcPr>
          <w:p w14:paraId="3CCD57A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highlight w:val="none"/>
              </w:rPr>
            </w:pPr>
          </w:p>
        </w:tc>
        <w:tc>
          <w:tcPr>
            <w:tcW w:w="1162" w:type="dxa"/>
            <w:noWrap w:val="0"/>
            <w:vAlign w:val="top"/>
          </w:tcPr>
          <w:p w14:paraId="5B48C18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highlight w:val="none"/>
              </w:rPr>
            </w:pPr>
          </w:p>
        </w:tc>
        <w:tc>
          <w:tcPr>
            <w:tcW w:w="1348" w:type="dxa"/>
            <w:noWrap w:val="0"/>
            <w:vAlign w:val="top"/>
          </w:tcPr>
          <w:p w14:paraId="753ED81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highlight w:val="none"/>
              </w:rPr>
            </w:pPr>
          </w:p>
        </w:tc>
        <w:tc>
          <w:tcPr>
            <w:tcW w:w="1179" w:type="dxa"/>
            <w:noWrap w:val="0"/>
            <w:vAlign w:val="top"/>
          </w:tcPr>
          <w:p w14:paraId="627F1F5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highlight w:val="none"/>
              </w:rPr>
            </w:pPr>
          </w:p>
        </w:tc>
        <w:tc>
          <w:tcPr>
            <w:tcW w:w="1292" w:type="dxa"/>
            <w:noWrap w:val="0"/>
            <w:vAlign w:val="top"/>
          </w:tcPr>
          <w:p w14:paraId="33F61CE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highlight w:val="none"/>
              </w:rPr>
            </w:pPr>
          </w:p>
        </w:tc>
        <w:tc>
          <w:tcPr>
            <w:tcW w:w="1025" w:type="dxa"/>
            <w:noWrap w:val="0"/>
            <w:vAlign w:val="top"/>
          </w:tcPr>
          <w:p w14:paraId="5EC81CF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highlight w:val="none"/>
              </w:rPr>
            </w:pPr>
          </w:p>
        </w:tc>
        <w:tc>
          <w:tcPr>
            <w:tcW w:w="1028" w:type="dxa"/>
            <w:noWrap w:val="0"/>
            <w:vAlign w:val="top"/>
          </w:tcPr>
          <w:p w14:paraId="5A99427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highlight w:val="none"/>
              </w:rPr>
            </w:pPr>
          </w:p>
        </w:tc>
      </w:tr>
    </w:tbl>
    <w:p w14:paraId="3984790A">
      <w:pPr>
        <w:spacing w:line="360" w:lineRule="auto"/>
        <w:ind w:firstLine="235" w:firstLineChars="100"/>
        <w:jc w:val="center"/>
        <w:rPr>
          <w:rFonts w:hint="eastAsia" w:ascii="仿宋" w:hAnsi="仿宋" w:eastAsia="仿宋" w:cs="仿宋"/>
          <w:b/>
          <w:bCs/>
          <w:color w:val="000000"/>
          <w:spacing w:val="-3"/>
          <w:sz w:val="24"/>
          <w:szCs w:val="24"/>
          <w:highlight w:val="none"/>
          <w:lang w:val="en-US" w:eastAsia="zh-CN"/>
        </w:rPr>
      </w:pPr>
      <w:r>
        <w:rPr>
          <w:rFonts w:hint="eastAsia" w:ascii="仿宋" w:hAnsi="仿宋" w:eastAsia="仿宋" w:cs="仿宋"/>
          <w:b/>
          <w:bCs/>
          <w:color w:val="000000"/>
          <w:spacing w:val="-3"/>
          <w:sz w:val="24"/>
          <w:szCs w:val="24"/>
          <w:highlight w:val="none"/>
          <w:lang w:val="en-US" w:eastAsia="zh-CN"/>
        </w:rPr>
        <w:br w:type="page"/>
      </w:r>
      <w:r>
        <w:rPr>
          <w:rFonts w:hint="eastAsia" w:ascii="仿宋" w:hAnsi="仿宋" w:eastAsia="仿宋" w:cs="仿宋"/>
          <w:b/>
          <w:bCs/>
          <w:color w:val="000000"/>
          <w:spacing w:val="-3"/>
          <w:sz w:val="24"/>
          <w:szCs w:val="24"/>
          <w:highlight w:val="none"/>
          <w:lang w:val="en-US" w:eastAsia="zh-CN"/>
        </w:rPr>
        <w:t>分组工程量清单</w:t>
      </w:r>
    </w:p>
    <w:tbl>
      <w:tblPr>
        <w:tblStyle w:val="4"/>
        <w:tblpPr w:leftFromText="180" w:rightFromText="180" w:vertAnchor="text" w:horzAnchor="page" w:tblpX="1807" w:tblpY="94"/>
        <w:tblOverlap w:val="never"/>
        <w:tblW w:w="86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
        <w:gridCol w:w="1610"/>
        <w:gridCol w:w="833"/>
        <w:gridCol w:w="1092"/>
        <w:gridCol w:w="1118"/>
        <w:gridCol w:w="865"/>
        <w:gridCol w:w="977"/>
        <w:gridCol w:w="1342"/>
      </w:tblGrid>
      <w:tr w14:paraId="2F16D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9" w:hRule="atLeast"/>
        </w:trPr>
        <w:tc>
          <w:tcPr>
            <w:tcW w:w="819" w:type="dxa"/>
            <w:noWrap w:val="0"/>
            <w:vAlign w:val="center"/>
          </w:tcPr>
          <w:p w14:paraId="791C99A8">
            <w:pPr>
              <w:pStyle w:val="2"/>
              <w:widowControl w:val="0"/>
              <w:spacing w:line="360" w:lineRule="auto"/>
              <w:jc w:val="center"/>
              <w:rPr>
                <w:rFonts w:hint="eastAsia" w:ascii="仿宋" w:hAnsi="仿宋" w:eastAsia="仿宋" w:cs="仿宋"/>
                <w:b/>
                <w:bCs/>
                <w:i w:val="0"/>
                <w:iCs w:val="0"/>
                <w:caps w:val="0"/>
                <w:color w:val="auto"/>
                <w:spacing w:val="0"/>
                <w:kern w:val="2"/>
                <w:sz w:val="24"/>
                <w:szCs w:val="24"/>
                <w:highlight w:val="none"/>
                <w:shd w:val="clear" w:color="auto" w:fill="FFFFFF"/>
                <w:vertAlign w:val="baseline"/>
                <w:lang w:val="en-US" w:eastAsia="zh-CN" w:bidi="ar-SA"/>
              </w:rPr>
            </w:pPr>
            <w:r>
              <w:rPr>
                <w:rFonts w:hint="eastAsia" w:ascii="仿宋" w:hAnsi="仿宋" w:eastAsia="仿宋" w:cs="仿宋"/>
                <w:b/>
                <w:bCs/>
                <w:i w:val="0"/>
                <w:iCs w:val="0"/>
                <w:caps w:val="0"/>
                <w:color w:val="auto"/>
                <w:spacing w:val="0"/>
                <w:kern w:val="2"/>
                <w:sz w:val="24"/>
                <w:szCs w:val="24"/>
                <w:highlight w:val="none"/>
                <w:shd w:val="clear" w:color="auto" w:fill="FFFFFF"/>
                <w:vertAlign w:val="baseline"/>
                <w:lang w:val="en-US" w:eastAsia="zh-CN" w:bidi="ar-SA"/>
              </w:rPr>
              <w:t>序号</w:t>
            </w:r>
          </w:p>
        </w:tc>
        <w:tc>
          <w:tcPr>
            <w:tcW w:w="1610" w:type="dxa"/>
            <w:noWrap w:val="0"/>
            <w:vAlign w:val="center"/>
          </w:tcPr>
          <w:p w14:paraId="45F01A2B">
            <w:pPr>
              <w:pStyle w:val="2"/>
              <w:widowControl w:val="0"/>
              <w:spacing w:line="360" w:lineRule="auto"/>
              <w:jc w:val="center"/>
              <w:rPr>
                <w:rFonts w:hint="eastAsia" w:ascii="仿宋" w:hAnsi="仿宋" w:eastAsia="仿宋" w:cs="仿宋"/>
                <w:b/>
                <w:bCs/>
                <w:i w:val="0"/>
                <w:iCs w:val="0"/>
                <w:caps w:val="0"/>
                <w:color w:val="auto"/>
                <w:spacing w:val="0"/>
                <w:kern w:val="2"/>
                <w:sz w:val="24"/>
                <w:szCs w:val="24"/>
                <w:highlight w:val="none"/>
                <w:shd w:val="clear" w:color="auto" w:fill="FFFFFF"/>
                <w:vertAlign w:val="baseline"/>
                <w:lang w:val="en-US" w:eastAsia="zh-CN" w:bidi="ar-SA"/>
              </w:rPr>
            </w:pPr>
            <w:r>
              <w:rPr>
                <w:rFonts w:hint="eastAsia" w:ascii="仿宋" w:hAnsi="仿宋" w:eastAsia="仿宋" w:cs="仿宋"/>
                <w:b/>
                <w:bCs/>
                <w:i w:val="0"/>
                <w:iCs w:val="0"/>
                <w:caps w:val="0"/>
                <w:color w:val="auto"/>
                <w:spacing w:val="0"/>
                <w:kern w:val="2"/>
                <w:sz w:val="24"/>
                <w:szCs w:val="24"/>
                <w:highlight w:val="none"/>
                <w:shd w:val="clear" w:color="auto" w:fill="FFFFFF"/>
                <w:vertAlign w:val="baseline"/>
                <w:lang w:val="en-US" w:eastAsia="zh-CN" w:bidi="ar-SA"/>
              </w:rPr>
              <w:t>项目所在地</w:t>
            </w:r>
          </w:p>
        </w:tc>
        <w:tc>
          <w:tcPr>
            <w:tcW w:w="833" w:type="dxa"/>
            <w:noWrap w:val="0"/>
            <w:vAlign w:val="center"/>
          </w:tcPr>
          <w:p w14:paraId="2D585679">
            <w:pPr>
              <w:pStyle w:val="2"/>
              <w:widowControl w:val="0"/>
              <w:spacing w:line="360" w:lineRule="auto"/>
              <w:jc w:val="both"/>
              <w:rPr>
                <w:rFonts w:hint="eastAsia" w:ascii="仿宋" w:hAnsi="仿宋" w:eastAsia="仿宋" w:cs="仿宋"/>
                <w:b/>
                <w:bCs/>
                <w:i w:val="0"/>
                <w:iCs w:val="0"/>
                <w:caps w:val="0"/>
                <w:color w:val="auto"/>
                <w:spacing w:val="0"/>
                <w:kern w:val="2"/>
                <w:sz w:val="24"/>
                <w:szCs w:val="24"/>
                <w:highlight w:val="none"/>
                <w:shd w:val="clear" w:color="auto" w:fill="FFFFFF"/>
                <w:vertAlign w:val="baseline"/>
                <w:lang w:val="en-US" w:eastAsia="zh-CN" w:bidi="ar-SA"/>
              </w:rPr>
            </w:pPr>
            <w:r>
              <w:rPr>
                <w:rFonts w:hint="eastAsia" w:ascii="仿宋" w:hAnsi="仿宋" w:eastAsia="仿宋" w:cs="仿宋"/>
                <w:b/>
                <w:bCs/>
                <w:i w:val="0"/>
                <w:iCs w:val="0"/>
                <w:caps w:val="0"/>
                <w:color w:val="auto"/>
                <w:spacing w:val="0"/>
                <w:kern w:val="2"/>
                <w:sz w:val="24"/>
                <w:szCs w:val="24"/>
                <w:highlight w:val="none"/>
                <w:shd w:val="clear" w:color="auto" w:fill="FFFFFF"/>
                <w:vertAlign w:val="baseline"/>
                <w:lang w:val="en-US" w:eastAsia="zh-CN" w:bidi="ar-SA"/>
              </w:rPr>
              <w:t>实施面积（亩）</w:t>
            </w:r>
          </w:p>
        </w:tc>
        <w:tc>
          <w:tcPr>
            <w:tcW w:w="1092" w:type="dxa"/>
            <w:noWrap w:val="0"/>
            <w:vAlign w:val="center"/>
          </w:tcPr>
          <w:p w14:paraId="686E072D">
            <w:pPr>
              <w:pStyle w:val="2"/>
              <w:widowControl w:val="0"/>
              <w:spacing w:line="360" w:lineRule="auto"/>
              <w:jc w:val="center"/>
              <w:rPr>
                <w:rFonts w:hint="eastAsia" w:ascii="仿宋" w:hAnsi="仿宋" w:eastAsia="仿宋" w:cs="仿宋"/>
                <w:b/>
                <w:bCs/>
                <w:i w:val="0"/>
                <w:iCs w:val="0"/>
                <w:caps w:val="0"/>
                <w:color w:val="auto"/>
                <w:spacing w:val="0"/>
                <w:kern w:val="2"/>
                <w:sz w:val="24"/>
                <w:szCs w:val="24"/>
                <w:highlight w:val="none"/>
                <w:shd w:val="clear" w:color="auto" w:fill="FFFFFF"/>
                <w:vertAlign w:val="baseline"/>
                <w:lang w:val="en-US" w:eastAsia="zh-CN" w:bidi="ar-SA"/>
              </w:rPr>
            </w:pPr>
            <w:r>
              <w:rPr>
                <w:rFonts w:hint="eastAsia" w:ascii="仿宋" w:hAnsi="仿宋" w:eastAsia="仿宋" w:cs="仿宋"/>
                <w:b/>
                <w:bCs/>
                <w:i w:val="0"/>
                <w:iCs w:val="0"/>
                <w:caps w:val="0"/>
                <w:color w:val="auto"/>
                <w:spacing w:val="0"/>
                <w:kern w:val="2"/>
                <w:sz w:val="24"/>
                <w:szCs w:val="24"/>
                <w:highlight w:val="none"/>
                <w:shd w:val="clear" w:color="auto" w:fill="FFFFFF"/>
                <w:vertAlign w:val="baseline"/>
                <w:lang w:val="en-US" w:eastAsia="zh-CN" w:bidi="ar-SA"/>
              </w:rPr>
              <w:t>名称</w:t>
            </w:r>
          </w:p>
        </w:tc>
        <w:tc>
          <w:tcPr>
            <w:tcW w:w="1118" w:type="dxa"/>
            <w:noWrap w:val="0"/>
            <w:vAlign w:val="center"/>
          </w:tcPr>
          <w:p w14:paraId="411F5558">
            <w:pPr>
              <w:pStyle w:val="2"/>
              <w:widowControl w:val="0"/>
              <w:spacing w:line="360" w:lineRule="auto"/>
              <w:jc w:val="center"/>
              <w:rPr>
                <w:rFonts w:hint="eastAsia" w:ascii="仿宋" w:hAnsi="仿宋" w:eastAsia="仿宋" w:cs="仿宋"/>
                <w:b/>
                <w:bCs/>
                <w:i w:val="0"/>
                <w:iCs w:val="0"/>
                <w:caps w:val="0"/>
                <w:color w:val="auto"/>
                <w:spacing w:val="0"/>
                <w:kern w:val="2"/>
                <w:sz w:val="24"/>
                <w:szCs w:val="24"/>
                <w:highlight w:val="none"/>
                <w:shd w:val="clear" w:color="auto" w:fill="FFFFFF"/>
                <w:vertAlign w:val="baseline"/>
                <w:lang w:val="en-US" w:eastAsia="zh-CN" w:bidi="ar-SA"/>
              </w:rPr>
            </w:pPr>
            <w:r>
              <w:rPr>
                <w:rFonts w:hint="eastAsia" w:ascii="仿宋" w:hAnsi="仿宋" w:eastAsia="仿宋" w:cs="仿宋"/>
                <w:b/>
                <w:bCs/>
                <w:i w:val="0"/>
                <w:iCs w:val="0"/>
                <w:caps w:val="0"/>
                <w:color w:val="auto"/>
                <w:spacing w:val="0"/>
                <w:kern w:val="2"/>
                <w:sz w:val="24"/>
                <w:szCs w:val="24"/>
                <w:highlight w:val="none"/>
                <w:shd w:val="clear" w:color="auto" w:fill="FFFFFF"/>
                <w:vertAlign w:val="baseline"/>
                <w:lang w:val="en-US" w:eastAsia="zh-CN" w:bidi="ar-SA"/>
              </w:rPr>
              <w:t>计量单位（公斤）</w:t>
            </w:r>
          </w:p>
        </w:tc>
        <w:tc>
          <w:tcPr>
            <w:tcW w:w="865" w:type="dxa"/>
            <w:noWrap w:val="0"/>
            <w:vAlign w:val="center"/>
          </w:tcPr>
          <w:p w14:paraId="78052EC8">
            <w:pPr>
              <w:pStyle w:val="2"/>
              <w:widowControl w:val="0"/>
              <w:spacing w:line="360" w:lineRule="auto"/>
              <w:jc w:val="center"/>
              <w:rPr>
                <w:rFonts w:hint="eastAsia" w:ascii="仿宋" w:hAnsi="仿宋" w:eastAsia="仿宋" w:cs="仿宋"/>
                <w:b/>
                <w:bCs/>
                <w:i w:val="0"/>
                <w:iCs w:val="0"/>
                <w:caps w:val="0"/>
                <w:color w:val="auto"/>
                <w:spacing w:val="0"/>
                <w:kern w:val="2"/>
                <w:sz w:val="24"/>
                <w:szCs w:val="24"/>
                <w:highlight w:val="none"/>
                <w:shd w:val="clear" w:color="auto" w:fill="FFFFFF"/>
                <w:vertAlign w:val="baseline"/>
                <w:lang w:val="en-US" w:eastAsia="zh-CN" w:bidi="ar-SA"/>
              </w:rPr>
            </w:pPr>
            <w:r>
              <w:rPr>
                <w:rFonts w:hint="eastAsia" w:ascii="仿宋" w:hAnsi="仿宋" w:eastAsia="仿宋" w:cs="仿宋"/>
                <w:b/>
                <w:bCs/>
                <w:i w:val="0"/>
                <w:iCs w:val="0"/>
                <w:caps w:val="0"/>
                <w:color w:val="auto"/>
                <w:spacing w:val="0"/>
                <w:kern w:val="2"/>
                <w:sz w:val="24"/>
                <w:szCs w:val="24"/>
                <w:highlight w:val="none"/>
                <w:shd w:val="clear" w:color="auto" w:fill="FFFFFF"/>
                <w:vertAlign w:val="baseline"/>
                <w:lang w:val="en-US" w:eastAsia="zh-CN" w:bidi="ar-SA"/>
              </w:rPr>
              <w:t>工程数量</w:t>
            </w:r>
          </w:p>
        </w:tc>
        <w:tc>
          <w:tcPr>
            <w:tcW w:w="977" w:type="dxa"/>
            <w:noWrap w:val="0"/>
            <w:vAlign w:val="center"/>
          </w:tcPr>
          <w:p w14:paraId="7CCACC61">
            <w:pPr>
              <w:pStyle w:val="2"/>
              <w:widowControl w:val="0"/>
              <w:spacing w:line="360" w:lineRule="auto"/>
              <w:jc w:val="center"/>
              <w:rPr>
                <w:rFonts w:hint="eastAsia" w:ascii="仿宋" w:hAnsi="仿宋" w:eastAsia="仿宋" w:cs="仿宋"/>
                <w:b/>
                <w:bCs/>
                <w:i w:val="0"/>
                <w:iCs w:val="0"/>
                <w:caps w:val="0"/>
                <w:color w:val="auto"/>
                <w:spacing w:val="0"/>
                <w:kern w:val="2"/>
                <w:sz w:val="24"/>
                <w:szCs w:val="24"/>
                <w:highlight w:val="none"/>
                <w:shd w:val="clear" w:color="auto" w:fill="FFFFFF"/>
                <w:vertAlign w:val="baseline"/>
                <w:lang w:val="en-US" w:eastAsia="zh-CN" w:bidi="ar-SA"/>
              </w:rPr>
            </w:pPr>
            <w:r>
              <w:rPr>
                <w:rFonts w:hint="eastAsia" w:ascii="仿宋" w:hAnsi="仿宋" w:eastAsia="仿宋" w:cs="仿宋"/>
                <w:b/>
                <w:bCs/>
                <w:i w:val="0"/>
                <w:iCs w:val="0"/>
                <w:caps w:val="0"/>
                <w:color w:val="auto"/>
                <w:spacing w:val="0"/>
                <w:kern w:val="2"/>
                <w:sz w:val="24"/>
                <w:szCs w:val="24"/>
                <w:highlight w:val="none"/>
                <w:shd w:val="clear" w:color="auto" w:fill="FFFFFF"/>
                <w:vertAlign w:val="baseline"/>
                <w:lang w:val="en-US" w:eastAsia="zh-CN" w:bidi="ar-SA"/>
              </w:rPr>
              <w:t>单价（元）</w:t>
            </w:r>
          </w:p>
        </w:tc>
        <w:tc>
          <w:tcPr>
            <w:tcW w:w="1342" w:type="dxa"/>
            <w:noWrap w:val="0"/>
            <w:vAlign w:val="center"/>
          </w:tcPr>
          <w:p w14:paraId="6F932421">
            <w:pPr>
              <w:pStyle w:val="2"/>
              <w:widowControl w:val="0"/>
              <w:spacing w:line="360" w:lineRule="auto"/>
              <w:jc w:val="center"/>
              <w:rPr>
                <w:rFonts w:hint="eastAsia" w:ascii="仿宋" w:hAnsi="仿宋" w:eastAsia="仿宋" w:cs="仿宋"/>
                <w:b/>
                <w:bCs/>
                <w:i w:val="0"/>
                <w:iCs w:val="0"/>
                <w:caps w:val="0"/>
                <w:color w:val="auto"/>
                <w:spacing w:val="0"/>
                <w:kern w:val="2"/>
                <w:sz w:val="24"/>
                <w:szCs w:val="24"/>
                <w:highlight w:val="none"/>
                <w:shd w:val="clear" w:color="auto" w:fill="FFFFFF"/>
                <w:vertAlign w:val="baseline"/>
                <w:lang w:val="en-US" w:eastAsia="zh-CN" w:bidi="ar-SA"/>
              </w:rPr>
            </w:pPr>
            <w:r>
              <w:rPr>
                <w:rFonts w:hint="eastAsia" w:ascii="仿宋" w:hAnsi="仿宋" w:eastAsia="仿宋" w:cs="仿宋"/>
                <w:b/>
                <w:bCs/>
                <w:i w:val="0"/>
                <w:iCs w:val="0"/>
                <w:caps w:val="0"/>
                <w:color w:val="auto"/>
                <w:spacing w:val="0"/>
                <w:kern w:val="2"/>
                <w:sz w:val="24"/>
                <w:szCs w:val="24"/>
                <w:highlight w:val="none"/>
                <w:shd w:val="clear" w:color="auto" w:fill="FFFFFF"/>
                <w:vertAlign w:val="baseline"/>
                <w:lang w:val="en-US" w:eastAsia="zh-CN" w:bidi="ar-SA"/>
              </w:rPr>
              <w:t>合价（元）</w:t>
            </w:r>
          </w:p>
        </w:tc>
      </w:tr>
      <w:tr w14:paraId="6D0EF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819" w:type="dxa"/>
            <w:noWrap w:val="0"/>
            <w:vAlign w:val="top"/>
          </w:tcPr>
          <w:p w14:paraId="0005B284">
            <w:pPr>
              <w:pStyle w:val="2"/>
              <w:widowControl w:val="0"/>
              <w:spacing w:line="360" w:lineRule="auto"/>
              <w:jc w:val="center"/>
              <w:rPr>
                <w:rFonts w:hint="eastAsia"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1</w:t>
            </w:r>
          </w:p>
        </w:tc>
        <w:tc>
          <w:tcPr>
            <w:tcW w:w="1610" w:type="dxa"/>
            <w:noWrap w:val="0"/>
            <w:vAlign w:val="center"/>
          </w:tcPr>
          <w:p w14:paraId="2666720B">
            <w:pPr>
              <w:pStyle w:val="2"/>
              <w:widowControl w:val="0"/>
              <w:spacing w:line="360" w:lineRule="auto"/>
              <w:jc w:val="center"/>
              <w:rPr>
                <w:rFonts w:hint="eastAsia" w:ascii="仿宋" w:hAnsi="仿宋" w:eastAsia="仿宋" w:cs="仿宋"/>
                <w:b w:val="0"/>
                <w:bCs/>
                <w:color w:val="auto"/>
                <w:sz w:val="24"/>
                <w:szCs w:val="24"/>
                <w:highlight w:val="none"/>
                <w:vertAlign w:val="baseline"/>
                <w:lang w:val="en-US" w:eastAsia="zh-CN"/>
              </w:rPr>
            </w:pPr>
          </w:p>
        </w:tc>
        <w:tc>
          <w:tcPr>
            <w:tcW w:w="833" w:type="dxa"/>
            <w:vMerge w:val="restart"/>
            <w:noWrap w:val="0"/>
            <w:vAlign w:val="center"/>
          </w:tcPr>
          <w:p w14:paraId="321A8493">
            <w:pPr>
              <w:pStyle w:val="2"/>
              <w:widowControl w:val="0"/>
              <w:spacing w:line="360" w:lineRule="auto"/>
              <w:jc w:val="center"/>
              <w:rPr>
                <w:rFonts w:hint="eastAsia" w:ascii="仿宋" w:hAnsi="仿宋" w:eastAsia="仿宋" w:cs="仿宋"/>
                <w:b w:val="0"/>
                <w:bCs/>
                <w:color w:val="auto"/>
                <w:sz w:val="24"/>
                <w:szCs w:val="24"/>
                <w:highlight w:val="none"/>
                <w:vertAlign w:val="baseline"/>
                <w:lang w:val="en-US" w:eastAsia="zh-CN"/>
              </w:rPr>
            </w:pPr>
          </w:p>
        </w:tc>
        <w:tc>
          <w:tcPr>
            <w:tcW w:w="1092" w:type="dxa"/>
            <w:vMerge w:val="restart"/>
            <w:noWrap w:val="0"/>
            <w:vAlign w:val="center"/>
          </w:tcPr>
          <w:p w14:paraId="79489FFF">
            <w:pPr>
              <w:pStyle w:val="2"/>
              <w:widowControl w:val="0"/>
              <w:spacing w:line="360" w:lineRule="auto"/>
              <w:jc w:val="center"/>
              <w:rPr>
                <w:rFonts w:hint="eastAsia" w:ascii="仿宋" w:hAnsi="仿宋" w:eastAsia="仿宋" w:cs="仿宋"/>
                <w:b w:val="0"/>
                <w:bCs/>
                <w:color w:val="auto"/>
                <w:sz w:val="24"/>
                <w:szCs w:val="24"/>
                <w:highlight w:val="none"/>
                <w:vertAlign w:val="baseline"/>
                <w:lang w:val="en-US" w:eastAsia="zh-CN"/>
              </w:rPr>
            </w:pPr>
          </w:p>
        </w:tc>
        <w:tc>
          <w:tcPr>
            <w:tcW w:w="1118" w:type="dxa"/>
            <w:vMerge w:val="restart"/>
            <w:noWrap w:val="0"/>
            <w:vAlign w:val="center"/>
          </w:tcPr>
          <w:p w14:paraId="05AA5A96">
            <w:pPr>
              <w:pStyle w:val="2"/>
              <w:widowControl w:val="0"/>
              <w:spacing w:line="360" w:lineRule="auto"/>
              <w:jc w:val="center"/>
              <w:rPr>
                <w:rFonts w:hint="eastAsia" w:ascii="仿宋" w:hAnsi="仿宋" w:eastAsia="仿宋" w:cs="仿宋"/>
                <w:b w:val="0"/>
                <w:bCs/>
                <w:color w:val="auto"/>
                <w:sz w:val="24"/>
                <w:szCs w:val="24"/>
                <w:highlight w:val="none"/>
                <w:vertAlign w:val="baseline"/>
                <w:lang w:val="en-US" w:eastAsia="zh-CN"/>
              </w:rPr>
            </w:pPr>
          </w:p>
        </w:tc>
        <w:tc>
          <w:tcPr>
            <w:tcW w:w="865" w:type="dxa"/>
            <w:vMerge w:val="restart"/>
            <w:noWrap w:val="0"/>
            <w:vAlign w:val="center"/>
          </w:tcPr>
          <w:p w14:paraId="34D3D0D2">
            <w:pPr>
              <w:pStyle w:val="2"/>
              <w:widowControl w:val="0"/>
              <w:spacing w:line="360" w:lineRule="auto"/>
              <w:jc w:val="center"/>
              <w:rPr>
                <w:rFonts w:hint="eastAsia" w:ascii="仿宋" w:hAnsi="仿宋" w:eastAsia="仿宋" w:cs="仿宋"/>
                <w:color w:val="auto"/>
                <w:sz w:val="24"/>
                <w:szCs w:val="24"/>
                <w:highlight w:val="none"/>
                <w:vertAlign w:val="baseline"/>
                <w:lang w:val="en-US" w:eastAsia="zh-CN"/>
              </w:rPr>
            </w:pPr>
          </w:p>
        </w:tc>
        <w:tc>
          <w:tcPr>
            <w:tcW w:w="977" w:type="dxa"/>
            <w:vMerge w:val="restart"/>
            <w:noWrap w:val="0"/>
            <w:vAlign w:val="center"/>
          </w:tcPr>
          <w:p w14:paraId="27FB5C4A">
            <w:pPr>
              <w:pStyle w:val="2"/>
              <w:widowControl w:val="0"/>
              <w:spacing w:line="360" w:lineRule="auto"/>
              <w:jc w:val="center"/>
              <w:rPr>
                <w:rFonts w:hint="eastAsia" w:ascii="仿宋" w:hAnsi="仿宋" w:eastAsia="仿宋" w:cs="仿宋"/>
                <w:b w:val="0"/>
                <w:bCs/>
                <w:color w:val="auto"/>
                <w:sz w:val="24"/>
                <w:szCs w:val="24"/>
                <w:highlight w:val="none"/>
                <w:vertAlign w:val="baseline"/>
                <w:lang w:val="en-US" w:eastAsia="zh-CN"/>
              </w:rPr>
            </w:pPr>
          </w:p>
        </w:tc>
        <w:tc>
          <w:tcPr>
            <w:tcW w:w="1342" w:type="dxa"/>
            <w:vMerge w:val="restart"/>
            <w:noWrap w:val="0"/>
            <w:vAlign w:val="center"/>
          </w:tcPr>
          <w:p w14:paraId="080CF32E">
            <w:pPr>
              <w:pStyle w:val="2"/>
              <w:widowControl w:val="0"/>
              <w:spacing w:line="360" w:lineRule="auto"/>
              <w:jc w:val="center"/>
              <w:rPr>
                <w:rFonts w:hint="eastAsia" w:ascii="仿宋" w:hAnsi="仿宋" w:eastAsia="仿宋" w:cs="仿宋"/>
                <w:b w:val="0"/>
                <w:bCs/>
                <w:color w:val="auto"/>
                <w:sz w:val="24"/>
                <w:szCs w:val="24"/>
                <w:highlight w:val="none"/>
                <w:vertAlign w:val="baseline"/>
                <w:lang w:val="en-US" w:eastAsia="zh-CN"/>
              </w:rPr>
            </w:pPr>
          </w:p>
        </w:tc>
      </w:tr>
      <w:tr w14:paraId="03E64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819" w:type="dxa"/>
            <w:noWrap w:val="0"/>
            <w:vAlign w:val="top"/>
          </w:tcPr>
          <w:p w14:paraId="6A7AE14C">
            <w:pPr>
              <w:pStyle w:val="2"/>
              <w:widowControl w:val="0"/>
              <w:spacing w:line="360" w:lineRule="auto"/>
              <w:jc w:val="center"/>
              <w:rPr>
                <w:rFonts w:hint="eastAsia"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2</w:t>
            </w:r>
          </w:p>
        </w:tc>
        <w:tc>
          <w:tcPr>
            <w:tcW w:w="1610" w:type="dxa"/>
            <w:noWrap w:val="0"/>
            <w:vAlign w:val="center"/>
          </w:tcPr>
          <w:p w14:paraId="04B7AAB1">
            <w:pPr>
              <w:pStyle w:val="2"/>
              <w:widowControl w:val="0"/>
              <w:spacing w:line="360" w:lineRule="auto"/>
              <w:jc w:val="center"/>
              <w:rPr>
                <w:rFonts w:hint="eastAsia" w:ascii="仿宋" w:hAnsi="仿宋" w:eastAsia="仿宋" w:cs="仿宋"/>
                <w:b w:val="0"/>
                <w:bCs/>
                <w:color w:val="auto"/>
                <w:sz w:val="24"/>
                <w:szCs w:val="24"/>
                <w:highlight w:val="none"/>
                <w:vertAlign w:val="baseline"/>
                <w:lang w:val="en-US" w:eastAsia="zh-CN"/>
              </w:rPr>
            </w:pPr>
          </w:p>
        </w:tc>
        <w:tc>
          <w:tcPr>
            <w:tcW w:w="833" w:type="dxa"/>
            <w:vMerge w:val="continue"/>
            <w:noWrap w:val="0"/>
            <w:vAlign w:val="center"/>
          </w:tcPr>
          <w:p w14:paraId="6243277A">
            <w:pPr>
              <w:pStyle w:val="2"/>
              <w:widowControl w:val="0"/>
              <w:spacing w:line="360" w:lineRule="auto"/>
              <w:jc w:val="center"/>
              <w:rPr>
                <w:rFonts w:hint="eastAsia" w:ascii="仿宋" w:hAnsi="仿宋" w:eastAsia="仿宋" w:cs="仿宋"/>
                <w:b w:val="0"/>
                <w:bCs/>
                <w:color w:val="auto"/>
                <w:sz w:val="24"/>
                <w:szCs w:val="24"/>
                <w:highlight w:val="none"/>
                <w:vertAlign w:val="baseline"/>
                <w:lang w:val="en-US" w:eastAsia="zh-CN"/>
              </w:rPr>
            </w:pPr>
          </w:p>
        </w:tc>
        <w:tc>
          <w:tcPr>
            <w:tcW w:w="1092" w:type="dxa"/>
            <w:vMerge w:val="continue"/>
            <w:noWrap w:val="0"/>
            <w:vAlign w:val="center"/>
          </w:tcPr>
          <w:p w14:paraId="76E62743">
            <w:pPr>
              <w:pStyle w:val="2"/>
              <w:widowControl w:val="0"/>
              <w:spacing w:line="360" w:lineRule="auto"/>
              <w:jc w:val="center"/>
              <w:rPr>
                <w:rFonts w:hint="eastAsia" w:ascii="仿宋" w:hAnsi="仿宋" w:eastAsia="仿宋" w:cs="仿宋"/>
                <w:b w:val="0"/>
                <w:bCs/>
                <w:color w:val="auto"/>
                <w:sz w:val="24"/>
                <w:szCs w:val="24"/>
                <w:highlight w:val="none"/>
                <w:vertAlign w:val="baseline"/>
                <w:lang w:val="en-US" w:eastAsia="zh-CN"/>
              </w:rPr>
            </w:pPr>
          </w:p>
        </w:tc>
        <w:tc>
          <w:tcPr>
            <w:tcW w:w="1118" w:type="dxa"/>
            <w:vMerge w:val="continue"/>
            <w:noWrap w:val="0"/>
            <w:vAlign w:val="center"/>
          </w:tcPr>
          <w:p w14:paraId="22C80DE3">
            <w:pPr>
              <w:pStyle w:val="2"/>
              <w:widowControl w:val="0"/>
              <w:spacing w:line="360" w:lineRule="auto"/>
              <w:jc w:val="center"/>
              <w:rPr>
                <w:rFonts w:hint="eastAsia" w:ascii="仿宋" w:hAnsi="仿宋" w:eastAsia="仿宋" w:cs="仿宋"/>
                <w:b w:val="0"/>
                <w:bCs/>
                <w:color w:val="auto"/>
                <w:sz w:val="24"/>
                <w:szCs w:val="24"/>
                <w:highlight w:val="none"/>
                <w:vertAlign w:val="baseline"/>
                <w:lang w:val="en-US" w:eastAsia="zh-CN"/>
              </w:rPr>
            </w:pPr>
          </w:p>
        </w:tc>
        <w:tc>
          <w:tcPr>
            <w:tcW w:w="865" w:type="dxa"/>
            <w:vMerge w:val="continue"/>
            <w:noWrap w:val="0"/>
            <w:vAlign w:val="center"/>
          </w:tcPr>
          <w:p w14:paraId="50501906">
            <w:pPr>
              <w:pStyle w:val="2"/>
              <w:widowControl w:val="0"/>
              <w:spacing w:line="360" w:lineRule="auto"/>
              <w:jc w:val="center"/>
              <w:rPr>
                <w:rFonts w:hint="eastAsia" w:ascii="仿宋" w:hAnsi="仿宋" w:eastAsia="仿宋" w:cs="仿宋"/>
                <w:color w:val="auto"/>
                <w:sz w:val="24"/>
                <w:szCs w:val="24"/>
                <w:highlight w:val="none"/>
                <w:vertAlign w:val="baseline"/>
                <w:lang w:val="en-US" w:eastAsia="zh-CN"/>
              </w:rPr>
            </w:pPr>
          </w:p>
        </w:tc>
        <w:tc>
          <w:tcPr>
            <w:tcW w:w="977" w:type="dxa"/>
            <w:vMerge w:val="continue"/>
            <w:noWrap w:val="0"/>
            <w:vAlign w:val="center"/>
          </w:tcPr>
          <w:p w14:paraId="07DE6B90">
            <w:pPr>
              <w:pStyle w:val="2"/>
              <w:widowControl w:val="0"/>
              <w:spacing w:line="360" w:lineRule="auto"/>
              <w:jc w:val="center"/>
              <w:rPr>
                <w:rFonts w:hint="eastAsia" w:ascii="仿宋" w:hAnsi="仿宋" w:eastAsia="仿宋" w:cs="仿宋"/>
                <w:color w:val="auto"/>
                <w:sz w:val="24"/>
                <w:szCs w:val="24"/>
                <w:highlight w:val="none"/>
                <w:vertAlign w:val="baseline"/>
                <w:lang w:val="en-US" w:eastAsia="zh-CN"/>
              </w:rPr>
            </w:pPr>
          </w:p>
        </w:tc>
        <w:tc>
          <w:tcPr>
            <w:tcW w:w="1342" w:type="dxa"/>
            <w:vMerge w:val="continue"/>
            <w:noWrap w:val="0"/>
            <w:vAlign w:val="center"/>
          </w:tcPr>
          <w:p w14:paraId="66DC26A1">
            <w:pPr>
              <w:pStyle w:val="2"/>
              <w:widowControl w:val="0"/>
              <w:spacing w:line="360" w:lineRule="auto"/>
              <w:jc w:val="center"/>
              <w:rPr>
                <w:rFonts w:hint="eastAsia" w:ascii="仿宋" w:hAnsi="仿宋" w:eastAsia="仿宋" w:cs="仿宋"/>
                <w:color w:val="auto"/>
                <w:sz w:val="24"/>
                <w:szCs w:val="24"/>
                <w:highlight w:val="none"/>
                <w:vertAlign w:val="baseline"/>
                <w:lang w:val="en-US" w:eastAsia="zh-CN"/>
              </w:rPr>
            </w:pPr>
          </w:p>
        </w:tc>
      </w:tr>
      <w:tr w14:paraId="48333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19" w:type="dxa"/>
            <w:noWrap w:val="0"/>
            <w:vAlign w:val="top"/>
          </w:tcPr>
          <w:p w14:paraId="295F1EBD">
            <w:pPr>
              <w:pStyle w:val="2"/>
              <w:widowControl w:val="0"/>
              <w:spacing w:line="360" w:lineRule="auto"/>
              <w:jc w:val="center"/>
              <w:rPr>
                <w:rFonts w:hint="eastAsia" w:ascii="仿宋" w:hAnsi="仿宋" w:eastAsia="仿宋" w:cs="仿宋"/>
                <w:b w:val="0"/>
                <w:bCs/>
                <w:color w:val="auto"/>
                <w:sz w:val="24"/>
                <w:szCs w:val="24"/>
                <w:highlight w:val="none"/>
                <w:vertAlign w:val="baseline"/>
                <w:lang w:val="en-US" w:eastAsia="zh-CN"/>
              </w:rPr>
            </w:pPr>
          </w:p>
        </w:tc>
        <w:tc>
          <w:tcPr>
            <w:tcW w:w="1610" w:type="dxa"/>
            <w:noWrap w:val="0"/>
            <w:vAlign w:val="center"/>
          </w:tcPr>
          <w:p w14:paraId="4C29F6A8">
            <w:pPr>
              <w:pStyle w:val="2"/>
              <w:widowControl w:val="0"/>
              <w:spacing w:line="360" w:lineRule="auto"/>
              <w:jc w:val="center"/>
              <w:rPr>
                <w:rFonts w:hint="eastAsia"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合计</w:t>
            </w:r>
          </w:p>
        </w:tc>
        <w:tc>
          <w:tcPr>
            <w:tcW w:w="833" w:type="dxa"/>
            <w:noWrap w:val="0"/>
            <w:vAlign w:val="center"/>
          </w:tcPr>
          <w:p w14:paraId="27FDCD0C">
            <w:pPr>
              <w:pStyle w:val="2"/>
              <w:widowControl w:val="0"/>
              <w:spacing w:line="360" w:lineRule="auto"/>
              <w:jc w:val="center"/>
              <w:rPr>
                <w:rFonts w:hint="eastAsia" w:ascii="仿宋" w:hAnsi="仿宋" w:eastAsia="仿宋" w:cs="仿宋"/>
                <w:b w:val="0"/>
                <w:bCs/>
                <w:color w:val="auto"/>
                <w:sz w:val="24"/>
                <w:szCs w:val="24"/>
                <w:highlight w:val="none"/>
                <w:vertAlign w:val="baseline"/>
                <w:lang w:val="en-US" w:eastAsia="zh-CN"/>
              </w:rPr>
            </w:pPr>
          </w:p>
        </w:tc>
        <w:tc>
          <w:tcPr>
            <w:tcW w:w="1092" w:type="dxa"/>
            <w:noWrap w:val="0"/>
            <w:vAlign w:val="center"/>
          </w:tcPr>
          <w:p w14:paraId="54BC53DF">
            <w:pPr>
              <w:pStyle w:val="2"/>
              <w:widowControl w:val="0"/>
              <w:spacing w:line="360" w:lineRule="auto"/>
              <w:jc w:val="center"/>
              <w:rPr>
                <w:rFonts w:hint="eastAsia" w:ascii="仿宋" w:hAnsi="仿宋" w:eastAsia="仿宋" w:cs="仿宋"/>
                <w:b w:val="0"/>
                <w:bCs/>
                <w:color w:val="auto"/>
                <w:sz w:val="24"/>
                <w:szCs w:val="24"/>
                <w:highlight w:val="none"/>
                <w:vertAlign w:val="baseline"/>
                <w:lang w:val="en-US" w:eastAsia="zh-CN"/>
              </w:rPr>
            </w:pPr>
          </w:p>
        </w:tc>
        <w:tc>
          <w:tcPr>
            <w:tcW w:w="1118" w:type="dxa"/>
            <w:noWrap w:val="0"/>
            <w:vAlign w:val="center"/>
          </w:tcPr>
          <w:p w14:paraId="380A389E">
            <w:pPr>
              <w:pStyle w:val="2"/>
              <w:widowControl w:val="0"/>
              <w:spacing w:line="360" w:lineRule="auto"/>
              <w:jc w:val="center"/>
              <w:rPr>
                <w:rFonts w:hint="eastAsia" w:ascii="仿宋" w:hAnsi="仿宋" w:eastAsia="仿宋" w:cs="仿宋"/>
                <w:b w:val="0"/>
                <w:bCs/>
                <w:color w:val="auto"/>
                <w:sz w:val="24"/>
                <w:szCs w:val="24"/>
                <w:highlight w:val="none"/>
                <w:vertAlign w:val="baseline"/>
                <w:lang w:val="en-US" w:eastAsia="zh-CN"/>
              </w:rPr>
            </w:pPr>
          </w:p>
        </w:tc>
        <w:tc>
          <w:tcPr>
            <w:tcW w:w="865" w:type="dxa"/>
            <w:noWrap w:val="0"/>
            <w:vAlign w:val="center"/>
          </w:tcPr>
          <w:p w14:paraId="63A6AB00">
            <w:pPr>
              <w:pStyle w:val="2"/>
              <w:widowControl w:val="0"/>
              <w:spacing w:line="360" w:lineRule="auto"/>
              <w:jc w:val="center"/>
              <w:rPr>
                <w:rFonts w:hint="eastAsia" w:ascii="仿宋" w:hAnsi="仿宋" w:eastAsia="仿宋" w:cs="仿宋"/>
                <w:color w:val="auto"/>
                <w:sz w:val="24"/>
                <w:szCs w:val="24"/>
                <w:highlight w:val="none"/>
                <w:vertAlign w:val="baseline"/>
                <w:lang w:val="en-US" w:eastAsia="zh-CN"/>
              </w:rPr>
            </w:pPr>
          </w:p>
        </w:tc>
        <w:tc>
          <w:tcPr>
            <w:tcW w:w="977" w:type="dxa"/>
            <w:noWrap w:val="0"/>
            <w:vAlign w:val="center"/>
          </w:tcPr>
          <w:p w14:paraId="6E71F08B">
            <w:pPr>
              <w:pStyle w:val="2"/>
              <w:widowControl w:val="0"/>
              <w:spacing w:line="360" w:lineRule="auto"/>
              <w:jc w:val="center"/>
              <w:rPr>
                <w:rFonts w:hint="eastAsia" w:ascii="仿宋" w:hAnsi="仿宋" w:eastAsia="仿宋" w:cs="仿宋"/>
                <w:color w:val="auto"/>
                <w:sz w:val="24"/>
                <w:szCs w:val="24"/>
                <w:highlight w:val="none"/>
                <w:vertAlign w:val="baseline"/>
                <w:lang w:val="en-US" w:eastAsia="zh-CN"/>
              </w:rPr>
            </w:pPr>
          </w:p>
        </w:tc>
        <w:tc>
          <w:tcPr>
            <w:tcW w:w="1342" w:type="dxa"/>
            <w:noWrap w:val="0"/>
            <w:vAlign w:val="center"/>
          </w:tcPr>
          <w:p w14:paraId="07491463">
            <w:pPr>
              <w:pStyle w:val="2"/>
              <w:widowControl w:val="0"/>
              <w:spacing w:line="360" w:lineRule="auto"/>
              <w:jc w:val="center"/>
              <w:rPr>
                <w:rFonts w:hint="eastAsia" w:ascii="仿宋" w:hAnsi="仿宋" w:eastAsia="仿宋" w:cs="仿宋"/>
                <w:color w:val="auto"/>
                <w:sz w:val="24"/>
                <w:szCs w:val="24"/>
                <w:highlight w:val="none"/>
                <w:vertAlign w:val="baseline"/>
                <w:lang w:val="en-US" w:eastAsia="zh-CN"/>
              </w:rPr>
            </w:pPr>
          </w:p>
        </w:tc>
      </w:tr>
    </w:tbl>
    <w:p w14:paraId="2168940D">
      <w:pPr>
        <w:keepNext w:val="0"/>
        <w:keepLines w:val="0"/>
        <w:pageBreakBefore w:val="0"/>
        <w:numPr>
          <w:ilvl w:val="0"/>
          <w:numId w:val="0"/>
        </w:numPr>
        <w:wordWrap/>
        <w:overflowPunct/>
        <w:topLinePunct w:val="0"/>
        <w:bidi w:val="0"/>
        <w:spacing w:after="0" w:line="360" w:lineRule="auto"/>
        <w:ind w:leftChars="0" w:firstLine="480" w:firstLineChars="200"/>
        <w:rPr>
          <w:rFonts w:hint="eastAsia" w:ascii="黑体" w:hAnsi="黑体" w:eastAsia="黑体" w:cs="黑体"/>
          <w:b w:val="0"/>
          <w:bCs/>
          <w:kern w:val="2"/>
          <w:sz w:val="24"/>
          <w:szCs w:val="24"/>
          <w:highlight w:val="none"/>
          <w:lang w:val="en-US" w:eastAsia="zh-CN" w:bidi="ar-SA"/>
        </w:rPr>
      </w:pPr>
      <w:r>
        <w:rPr>
          <w:rFonts w:hint="eastAsia" w:ascii="黑体" w:hAnsi="黑体" w:eastAsia="黑体" w:cs="黑体"/>
          <w:b w:val="0"/>
          <w:bCs/>
          <w:kern w:val="2"/>
          <w:sz w:val="24"/>
          <w:szCs w:val="24"/>
          <w:highlight w:val="none"/>
          <w:lang w:val="en-US" w:eastAsia="zh-CN" w:bidi="ar-SA"/>
        </w:rPr>
        <w:t>三、合同结算方式</w:t>
      </w:r>
    </w:p>
    <w:p w14:paraId="249C74AB">
      <w:pPr>
        <w:keepNext w:val="0"/>
        <w:keepLines w:val="0"/>
        <w:pageBreakBefore w:val="0"/>
        <w:widowControl w:val="0"/>
        <w:kinsoku/>
        <w:wordWrap/>
        <w:overflowPunct/>
        <w:topLinePunct w:val="0"/>
        <w:autoSpaceDE/>
        <w:autoSpaceDN/>
        <w:bidi w:val="0"/>
        <w:adjustRightInd/>
        <w:snapToGrid/>
        <w:spacing w:after="0" w:line="360" w:lineRule="auto"/>
        <w:ind w:left="0" w:leftChars="0" w:right="0" w:firstLine="484" w:firstLineChars="200"/>
        <w:jc w:val="both"/>
        <w:textAlignment w:val="auto"/>
        <w:rPr>
          <w:rFonts w:hint="eastAsia" w:ascii="仿宋" w:hAnsi="仿宋" w:eastAsia="仿宋" w:cs="仿宋"/>
          <w:color w:val="000000"/>
          <w:spacing w:val="1"/>
          <w:sz w:val="24"/>
          <w:szCs w:val="24"/>
          <w:highlight w:val="none"/>
          <w:lang w:val="en-US" w:eastAsia="zh-CN"/>
        </w:rPr>
      </w:pPr>
      <w:r>
        <w:rPr>
          <w:rFonts w:hint="eastAsia" w:ascii="仿宋" w:hAnsi="仿宋" w:eastAsia="仿宋" w:cs="仿宋"/>
          <w:color w:val="000000"/>
          <w:spacing w:val="1"/>
          <w:sz w:val="24"/>
          <w:szCs w:val="24"/>
          <w:highlight w:val="none"/>
          <w:lang w:val="en-US" w:eastAsia="zh-CN"/>
        </w:rPr>
        <w:t>付款条件说明：合同签订后并供货完毕，10日内支付</w:t>
      </w:r>
      <w:r>
        <w:rPr>
          <w:rFonts w:hint="default" w:ascii="仿宋" w:hAnsi="仿宋" w:eastAsia="仿宋" w:cs="仿宋"/>
          <w:color w:val="000000"/>
          <w:spacing w:val="1"/>
          <w:sz w:val="24"/>
          <w:szCs w:val="24"/>
          <w:highlight w:val="none"/>
          <w:lang w:val="en-US" w:eastAsia="zh-CN"/>
        </w:rPr>
        <w:t>合同总价</w:t>
      </w:r>
      <w:r>
        <w:rPr>
          <w:rFonts w:hint="eastAsia" w:ascii="仿宋" w:hAnsi="仿宋" w:eastAsia="仿宋" w:cs="仿宋"/>
          <w:color w:val="000000"/>
          <w:spacing w:val="1"/>
          <w:sz w:val="24"/>
          <w:szCs w:val="24"/>
          <w:highlight w:val="none"/>
          <w:lang w:val="en-US" w:eastAsia="zh-CN"/>
        </w:rPr>
        <w:t>的80%，终验合格后10日</w:t>
      </w:r>
      <w:r>
        <w:rPr>
          <w:rFonts w:hint="default" w:ascii="仿宋" w:hAnsi="仿宋" w:eastAsia="仿宋" w:cs="仿宋"/>
          <w:color w:val="000000"/>
          <w:spacing w:val="1"/>
          <w:sz w:val="24"/>
          <w:szCs w:val="24"/>
          <w:highlight w:val="none"/>
          <w:lang w:val="en-US" w:eastAsia="zh-CN"/>
        </w:rPr>
        <w:t>内支付合同总价的</w:t>
      </w:r>
      <w:r>
        <w:rPr>
          <w:rFonts w:hint="eastAsia" w:ascii="仿宋" w:hAnsi="仿宋" w:eastAsia="仿宋" w:cs="仿宋"/>
          <w:color w:val="000000"/>
          <w:spacing w:val="1"/>
          <w:sz w:val="24"/>
          <w:szCs w:val="24"/>
          <w:highlight w:val="none"/>
          <w:lang w:val="en-US" w:eastAsia="zh-CN"/>
        </w:rPr>
        <w:t>17</w:t>
      </w:r>
      <w:r>
        <w:rPr>
          <w:rFonts w:hint="default" w:ascii="仿宋" w:hAnsi="仿宋" w:eastAsia="仿宋" w:cs="仿宋"/>
          <w:color w:val="000000"/>
          <w:spacing w:val="1"/>
          <w:sz w:val="24"/>
          <w:szCs w:val="24"/>
          <w:highlight w:val="none"/>
          <w:lang w:val="en-US" w:eastAsia="zh-CN"/>
        </w:rPr>
        <w:t>%</w:t>
      </w:r>
      <w:r>
        <w:rPr>
          <w:rFonts w:hint="eastAsia" w:ascii="仿宋" w:hAnsi="仿宋" w:eastAsia="仿宋" w:cs="仿宋"/>
          <w:color w:val="000000"/>
          <w:spacing w:val="1"/>
          <w:sz w:val="24"/>
          <w:szCs w:val="24"/>
          <w:highlight w:val="none"/>
          <w:lang w:val="en-US" w:eastAsia="zh-CN"/>
        </w:rPr>
        <w:t>。终验合格后不少于12个月，10日内支付</w:t>
      </w:r>
      <w:r>
        <w:rPr>
          <w:rFonts w:hint="default" w:ascii="仿宋" w:hAnsi="仿宋" w:eastAsia="仿宋" w:cs="仿宋"/>
          <w:color w:val="000000"/>
          <w:spacing w:val="1"/>
          <w:sz w:val="24"/>
          <w:szCs w:val="24"/>
          <w:highlight w:val="none"/>
          <w:lang w:val="en-US" w:eastAsia="zh-CN"/>
        </w:rPr>
        <w:t>合同总价</w:t>
      </w:r>
      <w:r>
        <w:rPr>
          <w:rFonts w:hint="eastAsia" w:ascii="仿宋" w:hAnsi="仿宋" w:eastAsia="仿宋" w:cs="仿宋"/>
          <w:color w:val="000000"/>
          <w:spacing w:val="1"/>
          <w:sz w:val="24"/>
          <w:szCs w:val="24"/>
          <w:highlight w:val="none"/>
          <w:lang w:val="en-US" w:eastAsia="zh-CN"/>
        </w:rPr>
        <w:t>的3%。</w:t>
      </w:r>
    </w:p>
    <w:p w14:paraId="71523059">
      <w:pPr>
        <w:keepNext w:val="0"/>
        <w:keepLines w:val="0"/>
        <w:pageBreakBefore w:val="0"/>
        <w:numPr>
          <w:ilvl w:val="0"/>
          <w:numId w:val="0"/>
        </w:numPr>
        <w:wordWrap/>
        <w:overflowPunct/>
        <w:topLinePunct w:val="0"/>
        <w:bidi w:val="0"/>
        <w:spacing w:after="0" w:line="360" w:lineRule="auto"/>
        <w:ind w:leftChars="0" w:firstLine="480" w:firstLineChars="200"/>
        <w:rPr>
          <w:rFonts w:hint="eastAsia" w:ascii="仿宋" w:hAnsi="仿宋" w:eastAsia="仿宋" w:cs="仿宋"/>
          <w:b/>
          <w:kern w:val="2"/>
          <w:sz w:val="24"/>
          <w:szCs w:val="24"/>
          <w:highlight w:val="none"/>
          <w:lang w:val="en-US" w:eastAsia="zh-CN" w:bidi="ar-SA"/>
        </w:rPr>
      </w:pPr>
      <w:r>
        <w:rPr>
          <w:rFonts w:hint="eastAsia" w:ascii="黑体" w:hAnsi="黑体" w:eastAsia="黑体" w:cs="黑体"/>
          <w:b w:val="0"/>
          <w:bCs/>
          <w:kern w:val="2"/>
          <w:sz w:val="24"/>
          <w:szCs w:val="24"/>
          <w:highlight w:val="none"/>
          <w:lang w:val="en-US" w:eastAsia="zh-CN" w:bidi="ar-SA"/>
        </w:rPr>
        <w:t>四、交货条件</w:t>
      </w:r>
    </w:p>
    <w:p w14:paraId="28CBA047">
      <w:pPr>
        <w:keepNext w:val="0"/>
        <w:keepLines w:val="0"/>
        <w:pageBreakBefore w:val="0"/>
        <w:widowControl w:val="0"/>
        <w:kinsoku/>
        <w:wordWrap/>
        <w:overflowPunct/>
        <w:topLinePunct w:val="0"/>
        <w:autoSpaceDE/>
        <w:autoSpaceDN/>
        <w:bidi w:val="0"/>
        <w:adjustRightInd/>
        <w:snapToGrid/>
        <w:spacing w:after="0" w:line="360" w:lineRule="auto"/>
        <w:ind w:left="0" w:leftChars="0" w:right="0" w:firstLine="484" w:firstLineChars="200"/>
        <w:jc w:val="both"/>
        <w:textAlignment w:val="auto"/>
        <w:rPr>
          <w:rFonts w:hint="eastAsia" w:ascii="仿宋" w:hAnsi="仿宋" w:eastAsia="仿宋" w:cs="仿宋"/>
          <w:color w:val="000000"/>
          <w:spacing w:val="1"/>
          <w:sz w:val="24"/>
          <w:szCs w:val="24"/>
          <w:highlight w:val="none"/>
          <w:lang w:val="en-US" w:eastAsia="zh-CN"/>
        </w:rPr>
      </w:pPr>
      <w:r>
        <w:rPr>
          <w:rFonts w:hint="eastAsia" w:ascii="仿宋" w:hAnsi="仿宋" w:eastAsia="仿宋" w:cs="仿宋"/>
          <w:color w:val="000000"/>
          <w:spacing w:val="1"/>
          <w:sz w:val="24"/>
          <w:szCs w:val="24"/>
          <w:highlight w:val="none"/>
          <w:lang w:val="en-US" w:eastAsia="zh-CN"/>
        </w:rPr>
        <w:t>1.合同签订后，乙方须在30日之内</w:t>
      </w:r>
      <w:r>
        <w:rPr>
          <w:rFonts w:hint="eastAsia" w:ascii="仿宋" w:hAnsi="仿宋" w:eastAsia="仿宋" w:cs="仿宋"/>
          <w:color w:val="000000"/>
          <w:spacing w:val="1"/>
          <w:sz w:val="24"/>
          <w:szCs w:val="24"/>
          <w:highlight w:val="none"/>
        </w:rPr>
        <w:t>前完成</w:t>
      </w:r>
      <w:r>
        <w:rPr>
          <w:rFonts w:hint="eastAsia" w:ascii="仿宋" w:hAnsi="仿宋" w:eastAsia="仿宋" w:cs="仿宋"/>
          <w:color w:val="000000"/>
          <w:spacing w:val="1"/>
          <w:sz w:val="24"/>
          <w:szCs w:val="24"/>
          <w:highlight w:val="none"/>
          <w:lang w:val="en-US" w:eastAsia="zh-CN"/>
        </w:rPr>
        <w:t>供货</w:t>
      </w:r>
      <w:r>
        <w:rPr>
          <w:rFonts w:hint="eastAsia" w:ascii="仿宋" w:hAnsi="仿宋" w:eastAsia="仿宋" w:cs="仿宋"/>
          <w:color w:val="000000"/>
          <w:spacing w:val="1"/>
          <w:sz w:val="24"/>
          <w:szCs w:val="24"/>
          <w:highlight w:val="none"/>
        </w:rPr>
        <w:t>；</w:t>
      </w:r>
      <w:r>
        <w:rPr>
          <w:rFonts w:hint="eastAsia" w:ascii="仿宋" w:hAnsi="仿宋" w:eastAsia="仿宋" w:cs="仿宋"/>
          <w:color w:val="000000"/>
          <w:spacing w:val="1"/>
          <w:sz w:val="24"/>
          <w:szCs w:val="24"/>
          <w:highlight w:val="none"/>
          <w:lang w:val="en-US" w:eastAsia="zh-CN"/>
        </w:rPr>
        <w:t>交货地点详见分组工程量清单项目所在地，并按照合同约定的数量按时分批送货。</w:t>
      </w:r>
    </w:p>
    <w:p w14:paraId="5DD9BC85">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484" w:firstLineChars="200"/>
        <w:jc w:val="both"/>
        <w:textAlignment w:val="auto"/>
        <w:rPr>
          <w:rFonts w:hint="eastAsia" w:ascii="仿宋" w:hAnsi="仿宋" w:eastAsia="仿宋" w:cs="仿宋"/>
          <w:b w:val="0"/>
          <w:color w:val="000000"/>
          <w:spacing w:val="1"/>
          <w:kern w:val="2"/>
          <w:sz w:val="24"/>
          <w:szCs w:val="24"/>
          <w:highlight w:val="none"/>
          <w:lang w:val="en-US" w:eastAsia="zh-CN" w:bidi="ar-SA"/>
        </w:rPr>
      </w:pPr>
      <w:r>
        <w:rPr>
          <w:rFonts w:hint="eastAsia" w:ascii="仿宋" w:hAnsi="仿宋" w:eastAsia="仿宋" w:cs="仿宋"/>
          <w:b w:val="0"/>
          <w:color w:val="000000"/>
          <w:spacing w:val="1"/>
          <w:kern w:val="2"/>
          <w:sz w:val="24"/>
          <w:szCs w:val="24"/>
          <w:highlight w:val="none"/>
          <w:lang w:val="en-US" w:eastAsia="zh-CN" w:bidi="ar-SA"/>
        </w:rPr>
        <w:t>2.乙方负责肥料采购运输，保证数量质量，确保群众在农事季节最佳时期使用;运杂费以及在运输过程中造成的各种损耗、安全责任事故全部由乙方自行承担。</w:t>
      </w:r>
    </w:p>
    <w:p w14:paraId="0085B3E3">
      <w:pPr>
        <w:keepNext w:val="0"/>
        <w:keepLines w:val="0"/>
        <w:pageBreakBefore w:val="0"/>
        <w:numPr>
          <w:ilvl w:val="0"/>
          <w:numId w:val="0"/>
        </w:numPr>
        <w:wordWrap/>
        <w:overflowPunct/>
        <w:topLinePunct w:val="0"/>
        <w:bidi w:val="0"/>
        <w:spacing w:after="0" w:line="360" w:lineRule="auto"/>
        <w:ind w:leftChars="0" w:firstLine="480" w:firstLineChars="200"/>
        <w:rPr>
          <w:rFonts w:hint="eastAsia" w:ascii="仿宋" w:hAnsi="仿宋" w:eastAsia="仿宋" w:cs="仿宋"/>
          <w:b/>
          <w:kern w:val="2"/>
          <w:sz w:val="24"/>
          <w:szCs w:val="24"/>
          <w:highlight w:val="none"/>
          <w:lang w:val="en-US" w:eastAsia="zh-CN" w:bidi="ar-SA"/>
        </w:rPr>
      </w:pPr>
      <w:r>
        <w:rPr>
          <w:rFonts w:hint="eastAsia" w:ascii="黑体" w:hAnsi="黑体" w:eastAsia="黑体" w:cs="黑体"/>
          <w:b w:val="0"/>
          <w:bCs/>
          <w:kern w:val="2"/>
          <w:sz w:val="24"/>
          <w:szCs w:val="24"/>
          <w:highlight w:val="none"/>
          <w:lang w:val="en-US" w:eastAsia="zh-CN" w:bidi="ar-SA"/>
        </w:rPr>
        <w:t>五、产品质量保证</w:t>
      </w:r>
    </w:p>
    <w:p w14:paraId="0AF417B8">
      <w:pPr>
        <w:pStyle w:val="2"/>
        <w:keepNext w:val="0"/>
        <w:keepLines w:val="0"/>
        <w:pageBreakBefore w:val="0"/>
        <w:wordWrap/>
        <w:overflowPunct/>
        <w:topLinePunct w:val="0"/>
        <w:bidi w:val="0"/>
        <w:spacing w:after="0" w:line="360" w:lineRule="auto"/>
        <w:ind w:leftChars="0" w:firstLine="480" w:firstLineChars="200"/>
        <w:rPr>
          <w:rFonts w:hint="eastAsia" w:ascii="仿宋" w:hAnsi="仿宋" w:eastAsia="仿宋" w:cs="仿宋"/>
          <w:b w:val="0"/>
          <w:bCs/>
          <w:color w:val="auto"/>
          <w:spacing w:val="1"/>
          <w:kern w:val="2"/>
          <w:sz w:val="24"/>
          <w:szCs w:val="24"/>
          <w:highlight w:val="none"/>
          <w:lang w:val="en-US" w:eastAsia="zh-CN" w:bidi="ar-SA"/>
        </w:rPr>
      </w:pPr>
      <w:r>
        <w:rPr>
          <w:rFonts w:hint="eastAsia" w:ascii="仿宋" w:hAnsi="仿宋" w:eastAsia="仿宋" w:cs="仿宋"/>
          <w:b w:val="0"/>
          <w:bCs/>
          <w:color w:val="auto"/>
          <w:kern w:val="2"/>
          <w:sz w:val="24"/>
          <w:szCs w:val="24"/>
          <w:highlight w:val="none"/>
          <w:lang w:val="en-US" w:eastAsia="zh-CN" w:bidi="ar-SA"/>
        </w:rPr>
        <w:t>1</w:t>
      </w:r>
      <w:r>
        <w:rPr>
          <w:rFonts w:hint="eastAsia" w:ascii="仿宋" w:hAnsi="仿宋" w:eastAsia="仿宋" w:cs="仿宋"/>
          <w:b w:val="0"/>
          <w:bCs/>
          <w:color w:val="auto"/>
          <w:spacing w:val="1"/>
          <w:kern w:val="2"/>
          <w:sz w:val="24"/>
          <w:szCs w:val="24"/>
          <w:highlight w:val="none"/>
          <w:lang w:val="en-US" w:eastAsia="zh-CN" w:bidi="ar-SA"/>
        </w:rPr>
        <w:t>.肥料须是经过国家法定检验、注册、准许市场销售的合法产品。</w:t>
      </w:r>
    </w:p>
    <w:p w14:paraId="47F71EFD">
      <w:pPr>
        <w:keepNext w:val="0"/>
        <w:keepLines w:val="0"/>
        <w:pageBreakBefore w:val="0"/>
        <w:wordWrap/>
        <w:overflowPunct/>
        <w:topLinePunct w:val="0"/>
        <w:bidi w:val="0"/>
        <w:spacing w:after="0" w:line="360" w:lineRule="auto"/>
        <w:ind w:leftChars="0" w:firstLine="484" w:firstLineChars="200"/>
        <w:rPr>
          <w:rFonts w:hint="eastAsia" w:ascii="仿宋" w:hAnsi="仿宋" w:eastAsia="仿宋" w:cs="仿宋"/>
          <w:b w:val="0"/>
          <w:bCs/>
          <w:color w:val="auto"/>
          <w:spacing w:val="1"/>
          <w:kern w:val="2"/>
          <w:sz w:val="24"/>
          <w:szCs w:val="24"/>
          <w:highlight w:val="none"/>
          <w:lang w:val="en-US" w:eastAsia="zh-CN" w:bidi="ar-SA"/>
        </w:rPr>
      </w:pPr>
      <w:r>
        <w:rPr>
          <w:rFonts w:hint="eastAsia" w:ascii="仿宋" w:hAnsi="仿宋" w:eastAsia="仿宋" w:cs="仿宋"/>
          <w:b w:val="0"/>
          <w:bCs/>
          <w:color w:val="auto"/>
          <w:spacing w:val="1"/>
          <w:kern w:val="2"/>
          <w:sz w:val="24"/>
          <w:szCs w:val="24"/>
          <w:highlight w:val="none"/>
          <w:lang w:val="en-US" w:eastAsia="zh-CN" w:bidi="ar-SA"/>
        </w:rPr>
        <w:t>2.肥料性能稳定、具有较好的使用效果，质量保证措施完善，符合国家相关标准。</w:t>
      </w:r>
    </w:p>
    <w:p w14:paraId="78CA129D">
      <w:pPr>
        <w:pStyle w:val="2"/>
        <w:keepNext w:val="0"/>
        <w:keepLines w:val="0"/>
        <w:pageBreakBefore w:val="0"/>
        <w:wordWrap/>
        <w:overflowPunct/>
        <w:topLinePunct w:val="0"/>
        <w:bidi w:val="0"/>
        <w:spacing w:after="0" w:line="360" w:lineRule="auto"/>
        <w:ind w:leftChars="0" w:firstLine="484" w:firstLineChars="200"/>
        <w:rPr>
          <w:rFonts w:hint="eastAsia" w:ascii="仿宋" w:hAnsi="仿宋" w:eastAsia="仿宋" w:cs="仿宋"/>
          <w:b w:val="0"/>
          <w:bCs/>
          <w:color w:val="auto"/>
          <w:spacing w:val="1"/>
          <w:kern w:val="2"/>
          <w:sz w:val="24"/>
          <w:szCs w:val="24"/>
          <w:highlight w:val="none"/>
          <w:lang w:val="en-US" w:eastAsia="zh-CN" w:bidi="ar-SA"/>
        </w:rPr>
      </w:pPr>
      <w:r>
        <w:rPr>
          <w:rFonts w:hint="eastAsia" w:ascii="仿宋" w:hAnsi="仿宋" w:eastAsia="仿宋" w:cs="仿宋"/>
          <w:b w:val="0"/>
          <w:bCs/>
          <w:color w:val="auto"/>
          <w:spacing w:val="1"/>
          <w:kern w:val="2"/>
          <w:sz w:val="24"/>
          <w:szCs w:val="24"/>
          <w:highlight w:val="none"/>
          <w:lang w:val="en-US" w:eastAsia="zh-CN" w:bidi="ar-SA"/>
        </w:rPr>
        <w:t>3.肥料质保期为：交货验收合格后6个月，质保期内出现质量问题，由乙方承担相应责任。</w:t>
      </w:r>
    </w:p>
    <w:p w14:paraId="47F9A1BC">
      <w:pPr>
        <w:pStyle w:val="2"/>
        <w:keepNext w:val="0"/>
        <w:keepLines w:val="0"/>
        <w:pageBreakBefore w:val="0"/>
        <w:wordWrap/>
        <w:overflowPunct/>
        <w:topLinePunct w:val="0"/>
        <w:bidi w:val="0"/>
        <w:spacing w:after="0" w:line="360" w:lineRule="auto"/>
        <w:ind w:leftChars="0" w:firstLine="484" w:firstLineChars="200"/>
        <w:rPr>
          <w:rFonts w:hint="eastAsia" w:ascii="仿宋" w:hAnsi="仿宋" w:eastAsia="仿宋" w:cs="仿宋"/>
          <w:b w:val="0"/>
          <w:bCs/>
          <w:color w:val="auto"/>
          <w:spacing w:val="1"/>
          <w:kern w:val="2"/>
          <w:sz w:val="24"/>
          <w:szCs w:val="24"/>
          <w:highlight w:val="none"/>
          <w:lang w:val="en-US" w:eastAsia="zh-CN" w:bidi="ar-SA"/>
        </w:rPr>
      </w:pPr>
      <w:r>
        <w:rPr>
          <w:rFonts w:hint="eastAsia" w:ascii="仿宋" w:hAnsi="仿宋" w:eastAsia="仿宋" w:cs="仿宋"/>
          <w:b w:val="0"/>
          <w:bCs/>
          <w:color w:val="auto"/>
          <w:spacing w:val="1"/>
          <w:kern w:val="2"/>
          <w:sz w:val="24"/>
          <w:szCs w:val="24"/>
          <w:highlight w:val="none"/>
          <w:lang w:val="en-US" w:eastAsia="zh-CN" w:bidi="ar-SA"/>
        </w:rPr>
        <w:t>4.包装要求：乙方提供的商品有机肥均应按标准进行包装，确保安全无损运抵甲方指定地点。包装内应附质量合格证。</w:t>
      </w:r>
    </w:p>
    <w:p w14:paraId="43D4D685">
      <w:pPr>
        <w:keepNext w:val="0"/>
        <w:keepLines w:val="0"/>
        <w:pageBreakBefore w:val="0"/>
        <w:numPr>
          <w:ilvl w:val="0"/>
          <w:numId w:val="0"/>
        </w:numPr>
        <w:wordWrap/>
        <w:overflowPunct/>
        <w:topLinePunct w:val="0"/>
        <w:bidi w:val="0"/>
        <w:spacing w:after="0" w:line="360" w:lineRule="auto"/>
        <w:ind w:leftChars="0" w:firstLine="480" w:firstLineChars="200"/>
        <w:rPr>
          <w:rFonts w:hint="eastAsia" w:ascii="仿宋" w:hAnsi="仿宋" w:eastAsia="仿宋" w:cs="仿宋"/>
          <w:b/>
          <w:kern w:val="2"/>
          <w:sz w:val="24"/>
          <w:szCs w:val="24"/>
          <w:highlight w:val="none"/>
          <w:lang w:val="en-US" w:eastAsia="zh-CN" w:bidi="ar-SA"/>
        </w:rPr>
      </w:pPr>
      <w:r>
        <w:rPr>
          <w:rFonts w:hint="eastAsia" w:ascii="黑体" w:hAnsi="黑体" w:eastAsia="黑体" w:cs="黑体"/>
          <w:b w:val="0"/>
          <w:bCs/>
          <w:kern w:val="2"/>
          <w:sz w:val="24"/>
          <w:szCs w:val="24"/>
          <w:highlight w:val="none"/>
          <w:lang w:val="en-US" w:eastAsia="zh-CN" w:bidi="ar-SA"/>
        </w:rPr>
        <w:t>六、相关服务</w:t>
      </w:r>
    </w:p>
    <w:p w14:paraId="59E4B59D">
      <w:pPr>
        <w:pStyle w:val="2"/>
        <w:keepNext w:val="0"/>
        <w:keepLines w:val="0"/>
        <w:pageBreakBefore w:val="0"/>
        <w:wordWrap/>
        <w:overflowPunct/>
        <w:topLinePunct w:val="0"/>
        <w:bidi w:val="0"/>
        <w:spacing w:after="0" w:line="360" w:lineRule="auto"/>
        <w:ind w:leftChars="0" w:firstLine="484" w:firstLineChars="200"/>
        <w:rPr>
          <w:rFonts w:hint="eastAsia" w:ascii="仿宋" w:hAnsi="仿宋" w:eastAsia="仿宋" w:cs="仿宋"/>
          <w:b w:val="0"/>
          <w:color w:val="000000"/>
          <w:spacing w:val="1"/>
          <w:kern w:val="2"/>
          <w:sz w:val="24"/>
          <w:szCs w:val="24"/>
          <w:highlight w:val="none"/>
          <w:lang w:val="en-US" w:eastAsia="zh-CN" w:bidi="ar-SA"/>
        </w:rPr>
      </w:pPr>
      <w:r>
        <w:rPr>
          <w:rFonts w:hint="eastAsia" w:ascii="仿宋" w:hAnsi="仿宋" w:eastAsia="仿宋" w:cs="仿宋"/>
          <w:b w:val="0"/>
          <w:color w:val="000000"/>
          <w:spacing w:val="1"/>
          <w:kern w:val="2"/>
          <w:sz w:val="24"/>
          <w:szCs w:val="24"/>
          <w:highlight w:val="none"/>
          <w:lang w:val="en-US" w:eastAsia="zh-CN" w:bidi="ar-SA"/>
        </w:rPr>
        <w:t>1.乙方将肥料送达指定地点后，要协助相关项目村向农户分发，结合农事季节在肥料使用过程中开展现场技术培训活动。</w:t>
      </w:r>
    </w:p>
    <w:p w14:paraId="52A49773">
      <w:pPr>
        <w:pStyle w:val="2"/>
        <w:keepNext w:val="0"/>
        <w:keepLines w:val="0"/>
        <w:pageBreakBefore w:val="0"/>
        <w:wordWrap/>
        <w:overflowPunct/>
        <w:topLinePunct w:val="0"/>
        <w:bidi w:val="0"/>
        <w:spacing w:after="0" w:line="360" w:lineRule="auto"/>
        <w:ind w:leftChars="0" w:firstLine="484" w:firstLineChars="200"/>
        <w:rPr>
          <w:rFonts w:hint="eastAsia" w:ascii="仿宋" w:hAnsi="仿宋" w:eastAsia="仿宋" w:cs="仿宋"/>
          <w:b w:val="0"/>
          <w:color w:val="000000"/>
          <w:spacing w:val="1"/>
          <w:kern w:val="2"/>
          <w:sz w:val="24"/>
          <w:szCs w:val="24"/>
          <w:highlight w:val="none"/>
          <w:lang w:val="en-US" w:eastAsia="zh-CN" w:bidi="ar-SA"/>
        </w:rPr>
      </w:pPr>
      <w:r>
        <w:rPr>
          <w:rFonts w:hint="eastAsia" w:ascii="仿宋" w:hAnsi="仿宋" w:eastAsia="仿宋" w:cs="仿宋"/>
          <w:b w:val="0"/>
          <w:color w:val="000000"/>
          <w:spacing w:val="1"/>
          <w:kern w:val="2"/>
          <w:sz w:val="24"/>
          <w:szCs w:val="24"/>
          <w:highlight w:val="none"/>
          <w:lang w:val="en-US" w:eastAsia="zh-CN" w:bidi="ar-SA"/>
        </w:rPr>
        <w:t>2.伴随服务：乙方应随同肥料提供相应的使用说明，生产商的检验、测试报告、产品合格证书等文件。</w:t>
      </w:r>
    </w:p>
    <w:p w14:paraId="118A3B43">
      <w:pPr>
        <w:keepNext w:val="0"/>
        <w:keepLines w:val="0"/>
        <w:pageBreakBefore w:val="0"/>
        <w:numPr>
          <w:ilvl w:val="0"/>
          <w:numId w:val="0"/>
        </w:numPr>
        <w:wordWrap/>
        <w:overflowPunct/>
        <w:topLinePunct w:val="0"/>
        <w:bidi w:val="0"/>
        <w:spacing w:after="0" w:line="360" w:lineRule="auto"/>
        <w:ind w:leftChars="0" w:firstLine="480" w:firstLineChars="200"/>
        <w:rPr>
          <w:rFonts w:hint="eastAsia" w:ascii="黑体" w:hAnsi="黑体" w:eastAsia="黑体" w:cs="黑体"/>
          <w:b w:val="0"/>
          <w:bCs/>
          <w:kern w:val="2"/>
          <w:sz w:val="24"/>
          <w:szCs w:val="24"/>
          <w:highlight w:val="none"/>
          <w:lang w:val="en-US" w:eastAsia="zh-CN" w:bidi="ar-SA"/>
        </w:rPr>
      </w:pPr>
      <w:r>
        <w:rPr>
          <w:rFonts w:hint="eastAsia" w:ascii="黑体" w:hAnsi="黑体" w:eastAsia="黑体" w:cs="黑体"/>
          <w:b w:val="0"/>
          <w:bCs/>
          <w:kern w:val="2"/>
          <w:sz w:val="24"/>
          <w:szCs w:val="24"/>
          <w:highlight w:val="none"/>
          <w:lang w:val="en-US" w:eastAsia="zh-CN" w:bidi="ar-SA"/>
        </w:rPr>
        <w:t>七、产品验收</w:t>
      </w:r>
    </w:p>
    <w:p w14:paraId="556775B7">
      <w:pPr>
        <w:pStyle w:val="2"/>
        <w:keepNext w:val="0"/>
        <w:keepLines w:val="0"/>
        <w:pageBreakBefore w:val="0"/>
        <w:wordWrap/>
        <w:overflowPunct/>
        <w:topLinePunct w:val="0"/>
        <w:bidi w:val="0"/>
        <w:spacing w:after="0" w:line="360" w:lineRule="auto"/>
        <w:ind w:leftChars="0" w:firstLine="484" w:firstLineChars="200"/>
        <w:rPr>
          <w:rFonts w:hint="eastAsia" w:ascii="仿宋" w:hAnsi="仿宋" w:eastAsia="仿宋" w:cs="仿宋"/>
          <w:b w:val="0"/>
          <w:color w:val="000000"/>
          <w:spacing w:val="1"/>
          <w:kern w:val="2"/>
          <w:sz w:val="24"/>
          <w:szCs w:val="24"/>
          <w:highlight w:val="none"/>
          <w:lang w:val="en-US" w:eastAsia="zh-CN" w:bidi="ar-SA"/>
        </w:rPr>
      </w:pPr>
      <w:r>
        <w:rPr>
          <w:rFonts w:hint="eastAsia" w:ascii="仿宋" w:hAnsi="仿宋" w:eastAsia="仿宋" w:cs="仿宋"/>
          <w:b w:val="0"/>
          <w:color w:val="000000"/>
          <w:spacing w:val="1"/>
          <w:kern w:val="2"/>
          <w:sz w:val="24"/>
          <w:szCs w:val="24"/>
          <w:highlight w:val="none"/>
          <w:lang w:val="en-US" w:eastAsia="zh-CN" w:bidi="ar-SA"/>
        </w:rPr>
        <w:t>1.货到验收：根据高标准农田建设通则（GB/T 30600-2022）等相关文件和项目规范性要求，在肥料运送到现场准备发放前，县农业农村局对该批次肥料随机抽取样本送至第三方检测机构进行化验，验收内容包括：包装的完好性、货物品牌、规格、数量及产地与合同要求的一致性。</w:t>
      </w:r>
    </w:p>
    <w:p w14:paraId="4C8EFEF9">
      <w:pPr>
        <w:keepNext w:val="0"/>
        <w:keepLines w:val="0"/>
        <w:pageBreakBefore w:val="0"/>
        <w:wordWrap/>
        <w:overflowPunct/>
        <w:topLinePunct w:val="0"/>
        <w:bidi w:val="0"/>
        <w:spacing w:after="0" w:line="360" w:lineRule="auto"/>
        <w:ind w:leftChars="0" w:firstLine="484" w:firstLineChars="200"/>
        <w:rPr>
          <w:rFonts w:hint="eastAsia" w:ascii="仿宋" w:hAnsi="仿宋" w:eastAsia="仿宋" w:cs="仿宋"/>
          <w:b w:val="0"/>
          <w:color w:val="000000"/>
          <w:spacing w:val="1"/>
          <w:kern w:val="2"/>
          <w:sz w:val="24"/>
          <w:szCs w:val="24"/>
          <w:highlight w:val="none"/>
          <w:lang w:val="en-US" w:eastAsia="zh-CN" w:bidi="ar-SA"/>
        </w:rPr>
      </w:pPr>
      <w:r>
        <w:rPr>
          <w:rFonts w:hint="eastAsia" w:ascii="仿宋" w:hAnsi="仿宋" w:eastAsia="仿宋" w:cs="仿宋"/>
          <w:b w:val="0"/>
          <w:color w:val="000000"/>
          <w:spacing w:val="1"/>
          <w:kern w:val="2"/>
          <w:sz w:val="24"/>
          <w:szCs w:val="24"/>
          <w:highlight w:val="none"/>
          <w:lang w:val="en-US" w:eastAsia="zh-CN" w:bidi="ar-SA"/>
        </w:rPr>
        <w:t>2.产品质量验收：乙方需提供产品质量检验报告、产品合格证，甲方有权委托第三方进行产品质量随机抽检，所产生费用由乙方承担。</w:t>
      </w:r>
    </w:p>
    <w:p w14:paraId="2CD1CF6A">
      <w:pPr>
        <w:pStyle w:val="2"/>
        <w:keepNext w:val="0"/>
        <w:keepLines w:val="0"/>
        <w:pageBreakBefore w:val="0"/>
        <w:wordWrap/>
        <w:overflowPunct/>
        <w:topLinePunct w:val="0"/>
        <w:bidi w:val="0"/>
        <w:spacing w:after="0" w:line="360" w:lineRule="auto"/>
        <w:ind w:leftChars="0" w:firstLine="480" w:firstLineChars="200"/>
        <w:rPr>
          <w:rFonts w:hint="eastAsia" w:ascii="黑体" w:hAnsi="黑体" w:eastAsia="黑体" w:cs="黑体"/>
          <w:b w:val="0"/>
          <w:bCs/>
          <w:color w:val="auto"/>
          <w:kern w:val="2"/>
          <w:sz w:val="24"/>
          <w:szCs w:val="24"/>
          <w:highlight w:val="none"/>
          <w:lang w:val="en-US" w:eastAsia="zh-CN" w:bidi="ar-SA"/>
        </w:rPr>
      </w:pPr>
      <w:r>
        <w:rPr>
          <w:rFonts w:hint="eastAsia" w:ascii="黑体" w:hAnsi="黑体" w:eastAsia="黑体" w:cs="黑体"/>
          <w:b w:val="0"/>
          <w:bCs/>
          <w:color w:val="auto"/>
          <w:kern w:val="2"/>
          <w:sz w:val="24"/>
          <w:szCs w:val="24"/>
          <w:highlight w:val="none"/>
          <w:lang w:val="en-US" w:eastAsia="zh-CN" w:bidi="ar-SA"/>
        </w:rPr>
        <w:t>八、违约责任</w:t>
      </w:r>
    </w:p>
    <w:p w14:paraId="1C28ACFB">
      <w:pPr>
        <w:pStyle w:val="2"/>
        <w:keepNext w:val="0"/>
        <w:keepLines w:val="0"/>
        <w:pageBreakBefore w:val="0"/>
        <w:widowControl w:val="0"/>
        <w:kinsoku/>
        <w:wordWrap/>
        <w:overflowPunct/>
        <w:topLinePunct w:val="0"/>
        <w:autoSpaceDE/>
        <w:autoSpaceDN/>
        <w:bidi w:val="0"/>
        <w:adjustRightInd/>
        <w:snapToGrid/>
        <w:spacing w:after="0" w:line="360" w:lineRule="auto"/>
        <w:ind w:leftChars="0" w:firstLine="484" w:firstLineChars="200"/>
        <w:textAlignment w:val="auto"/>
        <w:rPr>
          <w:rFonts w:hint="eastAsia" w:ascii="仿宋" w:hAnsi="仿宋" w:eastAsia="仿宋" w:cs="仿宋"/>
          <w:b w:val="0"/>
          <w:color w:val="000000"/>
          <w:spacing w:val="1"/>
          <w:kern w:val="2"/>
          <w:sz w:val="24"/>
          <w:szCs w:val="24"/>
          <w:highlight w:val="none"/>
          <w:lang w:val="en-US" w:eastAsia="zh-CN" w:bidi="ar-SA"/>
        </w:rPr>
      </w:pPr>
      <w:r>
        <w:rPr>
          <w:rFonts w:hint="eastAsia" w:ascii="仿宋" w:hAnsi="仿宋" w:eastAsia="仿宋" w:cs="仿宋"/>
          <w:b w:val="0"/>
          <w:color w:val="000000"/>
          <w:spacing w:val="1"/>
          <w:kern w:val="2"/>
          <w:sz w:val="24"/>
          <w:szCs w:val="24"/>
          <w:highlight w:val="none"/>
          <w:lang w:val="en-US" w:eastAsia="zh-CN" w:bidi="ar-SA"/>
        </w:rPr>
        <w:t>1.甲方、乙方共同遵照《中华人民共和国民法典》中的相关条例执行。</w:t>
      </w:r>
    </w:p>
    <w:p w14:paraId="0AED4ACE">
      <w:pPr>
        <w:pStyle w:val="2"/>
        <w:keepNext w:val="0"/>
        <w:keepLines w:val="0"/>
        <w:pageBreakBefore w:val="0"/>
        <w:widowControl w:val="0"/>
        <w:kinsoku/>
        <w:wordWrap/>
        <w:overflowPunct/>
        <w:topLinePunct w:val="0"/>
        <w:autoSpaceDE/>
        <w:autoSpaceDN/>
        <w:bidi w:val="0"/>
        <w:adjustRightInd/>
        <w:snapToGrid/>
        <w:spacing w:after="0" w:line="360" w:lineRule="auto"/>
        <w:ind w:leftChars="0" w:firstLine="484" w:firstLineChars="200"/>
        <w:textAlignment w:val="auto"/>
        <w:rPr>
          <w:rFonts w:hint="eastAsia" w:ascii="仿宋" w:hAnsi="仿宋" w:eastAsia="仿宋" w:cs="仿宋"/>
          <w:b w:val="0"/>
          <w:color w:val="000000"/>
          <w:spacing w:val="1"/>
          <w:kern w:val="2"/>
          <w:sz w:val="24"/>
          <w:szCs w:val="24"/>
          <w:highlight w:val="none"/>
          <w:lang w:val="en-US" w:eastAsia="zh-CN" w:bidi="ar-SA"/>
        </w:rPr>
      </w:pPr>
      <w:r>
        <w:rPr>
          <w:rFonts w:hint="eastAsia" w:ascii="仿宋" w:hAnsi="仿宋" w:eastAsia="仿宋" w:cs="仿宋"/>
          <w:b w:val="0"/>
          <w:color w:val="000000"/>
          <w:spacing w:val="1"/>
          <w:kern w:val="2"/>
          <w:sz w:val="24"/>
          <w:szCs w:val="24"/>
          <w:highlight w:val="none"/>
          <w:lang w:val="en-US" w:eastAsia="zh-CN" w:bidi="ar-SA"/>
        </w:rPr>
        <w:t>2.如果乙方遇到可能妨碍按时交货和提供服务的情况，应及时以书面形式通知甲方，甲方在收到乙方通知后，确定是否酌情延长交货时间或对乙方加收误期赔偿金。每延误一周的赔偿费按迟交货物交货价或未提供服务费用的0.5%计收，直至交货或提供服务为止。误期赔偿费的最高限额为合同价格的5%，达到误期赔偿的最高限额，甲方可终止合同。</w:t>
      </w:r>
    </w:p>
    <w:p w14:paraId="686960CC">
      <w:pPr>
        <w:pStyle w:val="2"/>
        <w:keepNext w:val="0"/>
        <w:keepLines w:val="0"/>
        <w:pageBreakBefore w:val="0"/>
        <w:widowControl w:val="0"/>
        <w:kinsoku/>
        <w:wordWrap/>
        <w:overflowPunct/>
        <w:topLinePunct w:val="0"/>
        <w:autoSpaceDE/>
        <w:autoSpaceDN/>
        <w:bidi w:val="0"/>
        <w:adjustRightInd/>
        <w:snapToGrid/>
        <w:spacing w:after="0" w:line="360" w:lineRule="auto"/>
        <w:ind w:leftChars="0" w:firstLine="484" w:firstLineChars="200"/>
        <w:textAlignment w:val="auto"/>
        <w:rPr>
          <w:rFonts w:hint="eastAsia" w:ascii="仿宋" w:hAnsi="仿宋" w:eastAsia="仿宋" w:cs="仿宋"/>
          <w:b w:val="0"/>
          <w:color w:val="000000"/>
          <w:spacing w:val="1"/>
          <w:kern w:val="2"/>
          <w:sz w:val="24"/>
          <w:szCs w:val="24"/>
          <w:highlight w:val="none"/>
          <w:lang w:val="en-US" w:eastAsia="zh-CN" w:bidi="ar-SA"/>
        </w:rPr>
      </w:pPr>
      <w:r>
        <w:rPr>
          <w:rFonts w:hint="eastAsia" w:ascii="仿宋" w:hAnsi="仿宋" w:eastAsia="仿宋" w:cs="仿宋"/>
          <w:b w:val="0"/>
          <w:color w:val="000000"/>
          <w:spacing w:val="1"/>
          <w:kern w:val="2"/>
          <w:sz w:val="24"/>
          <w:szCs w:val="24"/>
          <w:highlight w:val="none"/>
          <w:lang w:val="en-US" w:eastAsia="zh-CN" w:bidi="ar-SA"/>
        </w:rPr>
        <w:t>3.违约终止合同：未按合同要求提供肥料或质量标准不能满足技术要求，甲方会同监督机构有权终止合同并做出相应处罚。</w:t>
      </w:r>
    </w:p>
    <w:p w14:paraId="5E928A7F">
      <w:pPr>
        <w:pStyle w:val="2"/>
        <w:keepNext w:val="0"/>
        <w:keepLines w:val="0"/>
        <w:pageBreakBefore w:val="0"/>
        <w:wordWrap/>
        <w:overflowPunct/>
        <w:topLinePunct w:val="0"/>
        <w:bidi w:val="0"/>
        <w:spacing w:after="0" w:line="360" w:lineRule="auto"/>
        <w:ind w:leftChars="0" w:firstLine="480" w:firstLineChars="200"/>
        <w:rPr>
          <w:rFonts w:hint="eastAsia" w:ascii="黑体" w:hAnsi="黑体" w:eastAsia="黑体" w:cs="黑体"/>
          <w:b w:val="0"/>
          <w:bCs/>
          <w:color w:val="auto"/>
          <w:kern w:val="2"/>
          <w:sz w:val="24"/>
          <w:szCs w:val="24"/>
          <w:highlight w:val="none"/>
          <w:lang w:val="en-US" w:eastAsia="zh-CN" w:bidi="ar-SA"/>
        </w:rPr>
      </w:pPr>
      <w:r>
        <w:rPr>
          <w:rFonts w:hint="eastAsia" w:ascii="黑体" w:hAnsi="黑体" w:eastAsia="黑体" w:cs="黑体"/>
          <w:b w:val="0"/>
          <w:bCs/>
          <w:color w:val="auto"/>
          <w:kern w:val="2"/>
          <w:sz w:val="24"/>
          <w:szCs w:val="24"/>
          <w:highlight w:val="none"/>
          <w:lang w:val="en-US" w:eastAsia="zh-CN" w:bidi="ar-SA"/>
        </w:rPr>
        <w:t>九、合同生效及其它</w:t>
      </w:r>
    </w:p>
    <w:p w14:paraId="0BD292EA">
      <w:pPr>
        <w:pStyle w:val="2"/>
        <w:keepNext w:val="0"/>
        <w:keepLines w:val="0"/>
        <w:pageBreakBefore w:val="0"/>
        <w:widowControl w:val="0"/>
        <w:kinsoku/>
        <w:wordWrap/>
        <w:overflowPunct/>
        <w:topLinePunct w:val="0"/>
        <w:autoSpaceDE/>
        <w:autoSpaceDN/>
        <w:bidi w:val="0"/>
        <w:adjustRightInd/>
        <w:snapToGrid/>
        <w:spacing w:after="0" w:line="360" w:lineRule="auto"/>
        <w:ind w:leftChars="0" w:firstLine="484" w:firstLineChars="200"/>
        <w:textAlignment w:val="auto"/>
        <w:rPr>
          <w:rFonts w:hint="eastAsia" w:ascii="仿宋" w:hAnsi="仿宋" w:eastAsia="仿宋" w:cs="仿宋"/>
          <w:b w:val="0"/>
          <w:color w:val="000000"/>
          <w:spacing w:val="1"/>
          <w:kern w:val="2"/>
          <w:sz w:val="24"/>
          <w:szCs w:val="24"/>
          <w:highlight w:val="none"/>
          <w:lang w:val="en-US" w:eastAsia="zh-CN" w:bidi="ar-SA"/>
        </w:rPr>
      </w:pPr>
      <w:r>
        <w:rPr>
          <w:rFonts w:hint="eastAsia" w:ascii="仿宋" w:hAnsi="仿宋" w:eastAsia="仿宋" w:cs="仿宋"/>
          <w:b w:val="0"/>
          <w:color w:val="000000"/>
          <w:spacing w:val="1"/>
          <w:kern w:val="2"/>
          <w:sz w:val="24"/>
          <w:szCs w:val="24"/>
          <w:highlight w:val="none"/>
          <w:lang w:val="en-US" w:eastAsia="zh-CN" w:bidi="ar-SA"/>
        </w:rPr>
        <w:t>1.本合同未尽事宜、由甲、乙双方协商作为签订补充合同的依据，与本合同具有同等效力。</w:t>
      </w:r>
    </w:p>
    <w:p w14:paraId="746E627D">
      <w:pPr>
        <w:pStyle w:val="2"/>
        <w:keepNext w:val="0"/>
        <w:keepLines w:val="0"/>
        <w:pageBreakBefore w:val="0"/>
        <w:widowControl w:val="0"/>
        <w:kinsoku/>
        <w:wordWrap/>
        <w:overflowPunct/>
        <w:topLinePunct w:val="0"/>
        <w:autoSpaceDE/>
        <w:autoSpaceDN/>
        <w:bidi w:val="0"/>
        <w:adjustRightInd/>
        <w:snapToGrid/>
        <w:spacing w:after="0" w:line="360" w:lineRule="auto"/>
        <w:ind w:leftChars="0" w:firstLine="484" w:firstLineChars="200"/>
        <w:textAlignment w:val="auto"/>
        <w:rPr>
          <w:rFonts w:hint="eastAsia" w:ascii="仿宋" w:hAnsi="仿宋" w:eastAsia="仿宋" w:cs="仿宋"/>
          <w:b w:val="0"/>
          <w:color w:val="000000"/>
          <w:spacing w:val="1"/>
          <w:kern w:val="2"/>
          <w:sz w:val="24"/>
          <w:szCs w:val="24"/>
          <w:highlight w:val="none"/>
          <w:lang w:val="en-US" w:eastAsia="zh-CN" w:bidi="ar-SA"/>
        </w:rPr>
      </w:pPr>
      <w:r>
        <w:rPr>
          <w:rFonts w:hint="eastAsia" w:ascii="仿宋" w:hAnsi="仿宋" w:eastAsia="仿宋" w:cs="仿宋"/>
          <w:b w:val="0"/>
          <w:color w:val="000000"/>
          <w:spacing w:val="1"/>
          <w:kern w:val="2"/>
          <w:sz w:val="24"/>
          <w:szCs w:val="24"/>
          <w:highlight w:val="none"/>
          <w:lang w:val="en-US" w:eastAsia="zh-CN" w:bidi="ar-SA"/>
        </w:rPr>
        <w:t>2.本合同一式肆份，由甲、乙双方各执两份。</w:t>
      </w:r>
    </w:p>
    <w:p w14:paraId="66E515C6">
      <w:pPr>
        <w:pStyle w:val="2"/>
        <w:keepNext w:val="0"/>
        <w:keepLines w:val="0"/>
        <w:pageBreakBefore w:val="0"/>
        <w:widowControl w:val="0"/>
        <w:kinsoku/>
        <w:wordWrap/>
        <w:overflowPunct/>
        <w:topLinePunct w:val="0"/>
        <w:autoSpaceDE/>
        <w:autoSpaceDN/>
        <w:bidi w:val="0"/>
        <w:adjustRightInd/>
        <w:snapToGrid/>
        <w:spacing w:after="0" w:line="360" w:lineRule="auto"/>
        <w:ind w:leftChars="0" w:firstLine="484" w:firstLineChars="200"/>
        <w:textAlignment w:val="auto"/>
        <w:rPr>
          <w:rFonts w:hint="eastAsia" w:ascii="仿宋" w:hAnsi="仿宋" w:eastAsia="仿宋" w:cs="仿宋"/>
          <w:b w:val="0"/>
          <w:color w:val="000000"/>
          <w:spacing w:val="1"/>
          <w:kern w:val="2"/>
          <w:sz w:val="24"/>
          <w:szCs w:val="24"/>
          <w:lang w:val="en-US" w:eastAsia="zh-CN" w:bidi="ar-SA"/>
        </w:rPr>
      </w:pPr>
      <w:r>
        <w:rPr>
          <w:rFonts w:hint="eastAsia" w:ascii="仿宋" w:hAnsi="仿宋" w:eastAsia="仿宋" w:cs="仿宋"/>
          <w:b w:val="0"/>
          <w:color w:val="000000"/>
          <w:spacing w:val="1"/>
          <w:kern w:val="2"/>
          <w:sz w:val="24"/>
          <w:szCs w:val="24"/>
          <w:highlight w:val="none"/>
          <w:lang w:val="en-US" w:eastAsia="zh-CN" w:bidi="ar-SA"/>
        </w:rPr>
        <w:t>3.本合同须经甲乙双方盖章、签字后生效。</w:t>
      </w:r>
    </w:p>
    <w:p w14:paraId="0151681E">
      <w:pPr>
        <w:pStyle w:val="2"/>
        <w:keepNext w:val="0"/>
        <w:keepLines w:val="0"/>
        <w:pageBreakBefore w:val="0"/>
        <w:widowControl w:val="0"/>
        <w:kinsoku/>
        <w:wordWrap/>
        <w:overflowPunct/>
        <w:topLinePunct w:val="0"/>
        <w:autoSpaceDE/>
        <w:autoSpaceDN/>
        <w:bidi w:val="0"/>
        <w:adjustRightInd/>
        <w:snapToGrid/>
        <w:spacing w:after="0" w:line="360" w:lineRule="auto"/>
        <w:ind w:leftChars="0" w:firstLine="484" w:firstLineChars="200"/>
        <w:textAlignment w:val="auto"/>
        <w:rPr>
          <w:rFonts w:hint="eastAsia" w:ascii="仿宋" w:hAnsi="仿宋" w:eastAsia="仿宋" w:cs="仿宋"/>
          <w:b w:val="0"/>
          <w:color w:val="000000"/>
          <w:spacing w:val="1"/>
          <w:kern w:val="2"/>
          <w:sz w:val="24"/>
          <w:szCs w:val="24"/>
          <w:lang w:val="en-US" w:eastAsia="zh-CN" w:bidi="ar-SA"/>
        </w:rPr>
      </w:pPr>
      <w:r>
        <w:rPr>
          <w:rFonts w:hint="eastAsia" w:ascii="仿宋" w:hAnsi="仿宋" w:eastAsia="仿宋" w:cs="仿宋"/>
          <w:b w:val="0"/>
          <w:color w:val="000000"/>
          <w:spacing w:val="1"/>
          <w:kern w:val="2"/>
          <w:sz w:val="24"/>
          <w:szCs w:val="24"/>
          <w:highlight w:val="none"/>
          <w:lang w:val="en-US" w:eastAsia="zh-CN" w:bidi="ar-SA"/>
        </w:rPr>
        <w:t>采购人;</w:t>
      </w:r>
      <w:r>
        <w:rPr>
          <w:rFonts w:hint="eastAsia" w:ascii="仿宋" w:hAnsi="仿宋" w:eastAsia="仿宋" w:cs="仿宋"/>
          <w:b w:val="0"/>
          <w:color w:val="000000"/>
          <w:spacing w:val="1"/>
          <w:kern w:val="2"/>
          <w:sz w:val="24"/>
          <w:szCs w:val="24"/>
          <w:highlight w:val="none"/>
          <w:u w:val="single"/>
          <w:lang w:val="en-US" w:eastAsia="zh-CN" w:bidi="ar-SA"/>
        </w:rPr>
        <w:t xml:space="preserve">                 </w:t>
      </w:r>
      <w:r>
        <w:rPr>
          <w:rFonts w:hint="eastAsia" w:ascii="仿宋" w:hAnsi="仿宋" w:eastAsia="仿宋" w:cs="仿宋"/>
          <w:b w:val="0"/>
          <w:color w:val="000000"/>
          <w:spacing w:val="1"/>
          <w:kern w:val="2"/>
          <w:sz w:val="24"/>
          <w:szCs w:val="24"/>
          <w:highlight w:val="none"/>
          <w:lang w:val="en-US" w:eastAsia="zh-CN" w:bidi="ar-SA"/>
        </w:rPr>
        <w:t xml:space="preserve">       供应商：</w:t>
      </w:r>
      <w:r>
        <w:rPr>
          <w:rFonts w:hint="eastAsia" w:ascii="仿宋" w:hAnsi="仿宋" w:eastAsia="仿宋" w:cs="仿宋"/>
          <w:b w:val="0"/>
          <w:color w:val="000000"/>
          <w:spacing w:val="1"/>
          <w:kern w:val="2"/>
          <w:sz w:val="24"/>
          <w:szCs w:val="24"/>
          <w:u w:val="single"/>
          <w:lang w:val="en-US" w:eastAsia="zh-CN" w:bidi="ar-SA"/>
        </w:rPr>
        <w:t xml:space="preserve">                           </w:t>
      </w:r>
    </w:p>
    <w:p w14:paraId="67AD9CDA">
      <w:pPr>
        <w:keepNext w:val="0"/>
        <w:keepLines w:val="0"/>
        <w:pageBreakBefore w:val="0"/>
        <w:widowControl w:val="0"/>
        <w:kinsoku/>
        <w:wordWrap/>
        <w:overflowPunct/>
        <w:topLinePunct w:val="0"/>
        <w:autoSpaceDE/>
        <w:autoSpaceDN/>
        <w:bidi w:val="0"/>
        <w:adjustRightInd/>
        <w:snapToGrid/>
        <w:spacing w:after="0" w:line="360" w:lineRule="auto"/>
        <w:ind w:leftChars="0" w:firstLine="484" w:firstLineChars="200"/>
        <w:textAlignment w:val="auto"/>
        <w:rPr>
          <w:rFonts w:hint="eastAsia" w:ascii="仿宋" w:hAnsi="仿宋" w:eastAsia="仿宋" w:cs="仿宋"/>
          <w:b w:val="0"/>
          <w:color w:val="000000"/>
          <w:spacing w:val="1"/>
          <w:kern w:val="2"/>
          <w:sz w:val="24"/>
          <w:szCs w:val="24"/>
          <w:u w:val="single"/>
          <w:lang w:val="en-US" w:eastAsia="zh-CN" w:bidi="ar-SA"/>
        </w:rPr>
      </w:pPr>
      <w:r>
        <w:rPr>
          <w:rFonts w:hint="eastAsia" w:ascii="仿宋" w:hAnsi="仿宋" w:eastAsia="仿宋" w:cs="仿宋"/>
          <w:b w:val="0"/>
          <w:color w:val="000000"/>
          <w:spacing w:val="1"/>
          <w:kern w:val="2"/>
          <w:sz w:val="24"/>
          <w:szCs w:val="24"/>
          <w:lang w:val="en-US" w:eastAsia="zh-CN" w:bidi="ar-SA"/>
        </w:rPr>
        <w:t>法定代表人：</w:t>
      </w:r>
      <w:r>
        <w:rPr>
          <w:rFonts w:hint="eastAsia" w:ascii="仿宋" w:hAnsi="仿宋" w:eastAsia="仿宋" w:cs="仿宋"/>
          <w:b w:val="0"/>
          <w:color w:val="000000"/>
          <w:spacing w:val="1"/>
          <w:kern w:val="2"/>
          <w:sz w:val="24"/>
          <w:szCs w:val="24"/>
          <w:u w:val="single"/>
          <w:lang w:val="en-US" w:eastAsia="zh-CN" w:bidi="ar-SA"/>
        </w:rPr>
        <w:t xml:space="preserve">             </w:t>
      </w:r>
      <w:r>
        <w:rPr>
          <w:rFonts w:hint="eastAsia" w:ascii="仿宋" w:hAnsi="仿宋" w:eastAsia="仿宋" w:cs="仿宋"/>
          <w:b w:val="0"/>
          <w:color w:val="000000"/>
          <w:spacing w:val="1"/>
          <w:kern w:val="2"/>
          <w:sz w:val="24"/>
          <w:szCs w:val="24"/>
          <w:u w:val="none"/>
          <w:lang w:val="en-US" w:eastAsia="zh-CN" w:bidi="ar-SA"/>
        </w:rPr>
        <w:t xml:space="preserve">      法定代表人：</w:t>
      </w:r>
      <w:r>
        <w:rPr>
          <w:rFonts w:hint="eastAsia" w:ascii="仿宋" w:hAnsi="仿宋" w:eastAsia="仿宋" w:cs="仿宋"/>
          <w:b w:val="0"/>
          <w:color w:val="000000"/>
          <w:spacing w:val="1"/>
          <w:kern w:val="2"/>
          <w:sz w:val="24"/>
          <w:szCs w:val="24"/>
          <w:u w:val="single"/>
          <w:lang w:val="en-US" w:eastAsia="zh-CN" w:bidi="ar-SA"/>
        </w:rPr>
        <w:t xml:space="preserve">                        </w:t>
      </w:r>
    </w:p>
    <w:p w14:paraId="3DAD3774">
      <w:pPr>
        <w:pStyle w:val="2"/>
        <w:keepNext w:val="0"/>
        <w:keepLines w:val="0"/>
        <w:pageBreakBefore w:val="0"/>
        <w:widowControl w:val="0"/>
        <w:kinsoku/>
        <w:wordWrap/>
        <w:overflowPunct/>
        <w:topLinePunct w:val="0"/>
        <w:autoSpaceDE/>
        <w:autoSpaceDN/>
        <w:bidi w:val="0"/>
        <w:adjustRightInd/>
        <w:snapToGrid/>
        <w:spacing w:after="0" w:line="360" w:lineRule="auto"/>
        <w:ind w:leftChars="0" w:firstLine="484" w:firstLineChars="200"/>
        <w:textAlignment w:val="auto"/>
        <w:rPr>
          <w:rFonts w:hint="eastAsia" w:ascii="仿宋" w:hAnsi="仿宋" w:eastAsia="仿宋" w:cs="仿宋"/>
          <w:b w:val="0"/>
          <w:color w:val="000000"/>
          <w:spacing w:val="1"/>
          <w:kern w:val="2"/>
          <w:sz w:val="24"/>
          <w:szCs w:val="24"/>
          <w:u w:val="single"/>
          <w:lang w:val="en-US" w:eastAsia="zh-CN" w:bidi="ar-SA"/>
        </w:rPr>
      </w:pPr>
      <w:r>
        <w:rPr>
          <w:rFonts w:hint="eastAsia" w:ascii="仿宋" w:hAnsi="仿宋" w:eastAsia="仿宋" w:cs="仿宋"/>
          <w:b w:val="0"/>
          <w:color w:val="000000"/>
          <w:spacing w:val="1"/>
          <w:kern w:val="2"/>
          <w:sz w:val="24"/>
          <w:szCs w:val="24"/>
          <w:u w:val="none"/>
          <w:lang w:val="en-US" w:eastAsia="zh-CN" w:bidi="ar-SA"/>
        </w:rPr>
        <w:t>单位地址：</w:t>
      </w:r>
      <w:r>
        <w:rPr>
          <w:rFonts w:hint="eastAsia" w:ascii="仿宋" w:hAnsi="仿宋" w:eastAsia="仿宋" w:cs="仿宋"/>
          <w:b w:val="0"/>
          <w:color w:val="000000"/>
          <w:spacing w:val="1"/>
          <w:kern w:val="2"/>
          <w:sz w:val="24"/>
          <w:szCs w:val="24"/>
          <w:u w:val="single"/>
          <w:lang w:val="en-US" w:eastAsia="zh-CN" w:bidi="ar-SA"/>
        </w:rPr>
        <w:t xml:space="preserve">               </w:t>
      </w:r>
      <w:r>
        <w:rPr>
          <w:rFonts w:hint="eastAsia" w:ascii="仿宋" w:hAnsi="仿宋" w:eastAsia="仿宋" w:cs="仿宋"/>
          <w:b w:val="0"/>
          <w:color w:val="000000"/>
          <w:spacing w:val="1"/>
          <w:kern w:val="2"/>
          <w:sz w:val="24"/>
          <w:szCs w:val="24"/>
          <w:u w:val="none"/>
          <w:lang w:val="en-US" w:eastAsia="zh-CN" w:bidi="ar-SA"/>
        </w:rPr>
        <w:t xml:space="preserve">      单位地址：</w:t>
      </w:r>
      <w:r>
        <w:rPr>
          <w:rFonts w:hint="eastAsia" w:ascii="仿宋" w:hAnsi="仿宋" w:eastAsia="仿宋" w:cs="仿宋"/>
          <w:b w:val="0"/>
          <w:color w:val="000000"/>
          <w:spacing w:val="1"/>
          <w:kern w:val="2"/>
          <w:sz w:val="24"/>
          <w:szCs w:val="24"/>
          <w:u w:val="single"/>
          <w:lang w:val="en-US" w:eastAsia="zh-CN" w:bidi="ar-SA"/>
        </w:rPr>
        <w:t xml:space="preserve">                           </w:t>
      </w:r>
    </w:p>
    <w:p w14:paraId="17035497">
      <w:pPr>
        <w:keepNext w:val="0"/>
        <w:keepLines w:val="0"/>
        <w:pageBreakBefore w:val="0"/>
        <w:widowControl w:val="0"/>
        <w:kinsoku/>
        <w:wordWrap/>
        <w:overflowPunct/>
        <w:topLinePunct w:val="0"/>
        <w:autoSpaceDE/>
        <w:autoSpaceDN/>
        <w:bidi w:val="0"/>
        <w:adjustRightInd/>
        <w:snapToGrid/>
        <w:spacing w:after="0" w:line="360" w:lineRule="auto"/>
        <w:ind w:leftChars="0" w:firstLine="484" w:firstLineChars="200"/>
        <w:textAlignment w:val="auto"/>
        <w:rPr>
          <w:rFonts w:hint="eastAsia" w:ascii="仿宋" w:hAnsi="仿宋" w:eastAsia="仿宋" w:cs="仿宋"/>
          <w:b w:val="0"/>
          <w:color w:val="000000"/>
          <w:spacing w:val="1"/>
          <w:kern w:val="2"/>
          <w:sz w:val="24"/>
          <w:szCs w:val="24"/>
          <w:u w:val="single"/>
          <w:lang w:val="en-US" w:eastAsia="zh-CN" w:bidi="ar-SA"/>
        </w:rPr>
      </w:pPr>
      <w:r>
        <w:rPr>
          <w:rFonts w:hint="eastAsia" w:ascii="仿宋" w:hAnsi="仿宋" w:eastAsia="仿宋" w:cs="仿宋"/>
          <w:b w:val="0"/>
          <w:color w:val="000000"/>
          <w:spacing w:val="1"/>
          <w:kern w:val="2"/>
          <w:sz w:val="24"/>
          <w:szCs w:val="24"/>
          <w:u w:val="none"/>
          <w:lang w:val="en-US" w:eastAsia="zh-CN" w:bidi="ar-SA"/>
        </w:rPr>
        <w:t>单位电话：</w:t>
      </w:r>
      <w:r>
        <w:rPr>
          <w:rFonts w:hint="eastAsia" w:ascii="仿宋" w:hAnsi="仿宋" w:eastAsia="仿宋" w:cs="仿宋"/>
          <w:b w:val="0"/>
          <w:color w:val="000000"/>
          <w:spacing w:val="1"/>
          <w:kern w:val="2"/>
          <w:sz w:val="24"/>
          <w:szCs w:val="24"/>
          <w:u w:val="single"/>
          <w:lang w:val="en-US" w:eastAsia="zh-CN" w:bidi="ar-SA"/>
        </w:rPr>
        <w:t xml:space="preserve">             </w:t>
      </w:r>
      <w:r>
        <w:rPr>
          <w:rFonts w:hint="eastAsia" w:ascii="仿宋" w:hAnsi="仿宋" w:eastAsia="仿宋" w:cs="仿宋"/>
          <w:b w:val="0"/>
          <w:color w:val="000000"/>
          <w:spacing w:val="1"/>
          <w:kern w:val="2"/>
          <w:sz w:val="24"/>
          <w:szCs w:val="24"/>
          <w:u w:val="none"/>
          <w:lang w:val="en-US" w:eastAsia="zh-CN" w:bidi="ar-SA"/>
        </w:rPr>
        <w:t xml:space="preserve">        单位电话：</w:t>
      </w:r>
      <w:r>
        <w:rPr>
          <w:rFonts w:hint="eastAsia" w:ascii="仿宋" w:hAnsi="仿宋" w:eastAsia="仿宋" w:cs="仿宋"/>
          <w:b w:val="0"/>
          <w:color w:val="000000"/>
          <w:spacing w:val="1"/>
          <w:kern w:val="2"/>
          <w:sz w:val="24"/>
          <w:szCs w:val="24"/>
          <w:u w:val="single"/>
          <w:lang w:val="en-US" w:eastAsia="zh-CN" w:bidi="ar-SA"/>
        </w:rPr>
        <w:t xml:space="preserve">                          </w:t>
      </w:r>
    </w:p>
    <w:p w14:paraId="32312CF0">
      <w:pPr>
        <w:pStyle w:val="2"/>
        <w:keepNext w:val="0"/>
        <w:keepLines w:val="0"/>
        <w:pageBreakBefore w:val="0"/>
        <w:widowControl w:val="0"/>
        <w:kinsoku/>
        <w:wordWrap/>
        <w:overflowPunct/>
        <w:topLinePunct w:val="0"/>
        <w:autoSpaceDE/>
        <w:autoSpaceDN/>
        <w:bidi w:val="0"/>
        <w:adjustRightInd/>
        <w:snapToGrid/>
        <w:spacing w:after="0" w:line="360" w:lineRule="auto"/>
        <w:ind w:leftChars="0" w:firstLine="484" w:firstLineChars="200"/>
        <w:textAlignment w:val="auto"/>
        <w:rPr>
          <w:rFonts w:hint="eastAsia" w:ascii="仿宋" w:hAnsi="仿宋" w:eastAsia="仿宋" w:cs="仿宋"/>
          <w:b w:val="0"/>
          <w:color w:val="000000"/>
          <w:spacing w:val="1"/>
          <w:kern w:val="2"/>
          <w:sz w:val="24"/>
          <w:szCs w:val="24"/>
          <w:u w:val="single"/>
          <w:lang w:val="en-US" w:eastAsia="zh-CN" w:bidi="ar-SA"/>
        </w:rPr>
      </w:pPr>
      <w:r>
        <w:rPr>
          <w:rFonts w:hint="eastAsia" w:ascii="仿宋" w:hAnsi="仿宋" w:eastAsia="仿宋" w:cs="仿宋"/>
          <w:b w:val="0"/>
          <w:color w:val="000000"/>
          <w:spacing w:val="1"/>
          <w:kern w:val="2"/>
          <w:sz w:val="24"/>
          <w:szCs w:val="24"/>
          <w:u w:val="none"/>
          <w:lang w:val="en-US" w:eastAsia="zh-CN" w:bidi="ar-SA"/>
        </w:rPr>
        <w:t>签订地点：</w:t>
      </w:r>
      <w:r>
        <w:rPr>
          <w:rFonts w:hint="eastAsia" w:ascii="仿宋" w:hAnsi="仿宋" w:eastAsia="仿宋" w:cs="仿宋"/>
          <w:b w:val="0"/>
          <w:color w:val="000000"/>
          <w:spacing w:val="1"/>
          <w:kern w:val="2"/>
          <w:sz w:val="24"/>
          <w:szCs w:val="24"/>
          <w:u w:val="single"/>
          <w:lang w:val="en-US" w:eastAsia="zh-CN" w:bidi="ar-SA"/>
        </w:rPr>
        <w:t xml:space="preserve">              </w:t>
      </w:r>
      <w:r>
        <w:rPr>
          <w:rFonts w:hint="eastAsia" w:ascii="仿宋" w:hAnsi="仿宋" w:eastAsia="仿宋" w:cs="仿宋"/>
          <w:b w:val="0"/>
          <w:color w:val="000000"/>
          <w:spacing w:val="1"/>
          <w:kern w:val="2"/>
          <w:sz w:val="24"/>
          <w:szCs w:val="24"/>
          <w:u w:val="none"/>
          <w:lang w:val="en-US" w:eastAsia="zh-CN" w:bidi="ar-SA"/>
        </w:rPr>
        <w:t xml:space="preserve">       开户银行：</w:t>
      </w:r>
      <w:r>
        <w:rPr>
          <w:rFonts w:hint="eastAsia" w:ascii="仿宋" w:hAnsi="仿宋" w:eastAsia="仿宋" w:cs="仿宋"/>
          <w:b w:val="0"/>
          <w:color w:val="000000"/>
          <w:spacing w:val="1"/>
          <w:kern w:val="2"/>
          <w:sz w:val="24"/>
          <w:szCs w:val="24"/>
          <w:u w:val="single"/>
          <w:lang w:val="en-US" w:eastAsia="zh-CN" w:bidi="ar-SA"/>
        </w:rPr>
        <w:t xml:space="preserve">                           </w:t>
      </w:r>
    </w:p>
    <w:p w14:paraId="17193CB7">
      <w:pPr>
        <w:pStyle w:val="6"/>
        <w:keepNext w:val="0"/>
        <w:keepLines w:val="0"/>
        <w:pageBreakBefore w:val="0"/>
        <w:wordWrap/>
        <w:overflowPunct/>
        <w:topLinePunct w:val="0"/>
        <w:bidi w:val="0"/>
        <w:spacing w:after="0" w:line="360" w:lineRule="auto"/>
        <w:ind w:leftChars="0" w:firstLine="484" w:firstLineChars="200"/>
        <w:rPr>
          <w:rFonts w:hint="eastAsia" w:ascii="仿宋" w:hAnsi="仿宋" w:eastAsia="仿宋" w:cs="仿宋"/>
          <w:lang w:val="en-US" w:eastAsia="zh-Hans"/>
        </w:rPr>
      </w:pPr>
      <w:r>
        <w:rPr>
          <w:rFonts w:hint="eastAsia" w:ascii="仿宋" w:hAnsi="仿宋" w:eastAsia="仿宋" w:cs="仿宋"/>
          <w:b w:val="0"/>
          <w:color w:val="000000"/>
          <w:spacing w:val="1"/>
          <w:kern w:val="2"/>
          <w:sz w:val="24"/>
          <w:szCs w:val="24"/>
          <w:u w:val="none"/>
          <w:lang w:val="en-US" w:eastAsia="zh-CN" w:bidi="ar-SA"/>
        </w:rPr>
        <w:t>签订时间：</w:t>
      </w:r>
      <w:r>
        <w:rPr>
          <w:rFonts w:hint="eastAsia" w:ascii="仿宋" w:hAnsi="仿宋" w:eastAsia="仿宋" w:cs="仿宋"/>
          <w:b w:val="0"/>
          <w:color w:val="000000"/>
          <w:spacing w:val="1"/>
          <w:kern w:val="2"/>
          <w:sz w:val="24"/>
          <w:szCs w:val="24"/>
          <w:u w:val="single"/>
          <w:lang w:val="en-US" w:eastAsia="zh-CN" w:bidi="ar-SA"/>
        </w:rPr>
        <w:t xml:space="preserve">    年  月  日</w:t>
      </w:r>
      <w:r>
        <w:rPr>
          <w:rFonts w:hint="eastAsia" w:ascii="仿宋" w:hAnsi="仿宋" w:eastAsia="仿宋" w:cs="仿宋"/>
          <w:b w:val="0"/>
          <w:color w:val="000000"/>
          <w:spacing w:val="1"/>
          <w:kern w:val="2"/>
          <w:sz w:val="24"/>
          <w:szCs w:val="24"/>
          <w:u w:val="none"/>
          <w:lang w:val="en-US" w:eastAsia="zh-CN" w:bidi="ar-SA"/>
        </w:rPr>
        <w:t xml:space="preserve">       账号：</w:t>
      </w:r>
      <w:r>
        <w:rPr>
          <w:rFonts w:hint="eastAsia" w:ascii="仿宋" w:hAnsi="仿宋" w:eastAsia="仿宋" w:cs="仿宋"/>
          <w:b w:val="0"/>
          <w:color w:val="000000"/>
          <w:spacing w:val="1"/>
          <w:kern w:val="2"/>
          <w:sz w:val="24"/>
          <w:szCs w:val="24"/>
          <w:u w:val="single"/>
          <w:lang w:val="en-US" w:eastAsia="zh-CN" w:bidi="ar-SA"/>
        </w:rPr>
        <w:t xml:space="preserve">                               </w:t>
      </w:r>
    </w:p>
    <w:p w14:paraId="2744587E">
      <w:pPr>
        <w:spacing w:line="360" w:lineRule="auto"/>
        <w:rPr>
          <w:rFonts w:hint="eastAsia" w:ascii="仿宋" w:hAnsi="仿宋" w:eastAsia="仿宋"/>
          <w:sz w:val="28"/>
          <w:lang w:eastAsia="zh-Hans"/>
        </w:rPr>
      </w:pPr>
    </w:p>
    <w:p w14:paraId="45C9984D">
      <w:pPr>
        <w:spacing w:line="360" w:lineRule="auto"/>
      </w:pPr>
    </w:p>
    <w:sectPr>
      <w:pgSz w:w="11906" w:h="16838"/>
      <w:pgMar w:top="1587" w:right="1587" w:bottom="1587" w:left="158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40742B"/>
    <w:rsid w:val="2C332538"/>
    <w:rsid w:val="34EB08B5"/>
    <w:rsid w:val="35D408E8"/>
    <w:rsid w:val="5A366A0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after="160"/>
      <w:textAlignment w:val="baseline"/>
    </w:pPr>
    <w:rPr>
      <w:rFonts w:ascii="Arial" w:hAnsi="Arial" w:eastAsia="Arial" w:cs="Arial"/>
      <w:snapToGrid w:val="0"/>
      <w:color w:val="000000"/>
      <w:sz w:val="21"/>
      <w:szCs w:val="21"/>
      <w:lang w:val="en-US" w:eastAsia="en-US" w:bidi="ar-SA"/>
    </w:rPr>
  </w:style>
  <w:style w:type="character" w:default="1" w:styleId="5">
    <w:name w:val="Default Paragraph Font"/>
    <w:semiHidden/>
    <w:uiPriority w:val="0"/>
  </w:style>
  <w:style w:type="table" w:default="1" w:styleId="3">
    <w:name w:val="Normal Table"/>
    <w:semiHidden/>
    <w:uiPriority w:val="0"/>
    <w:tblPr>
      <w:tblStyle w:val="3"/>
      <w:tblCellMar>
        <w:top w:w="0" w:type="dxa"/>
        <w:left w:w="108" w:type="dxa"/>
        <w:bottom w:w="0" w:type="dxa"/>
        <w:right w:w="108" w:type="dxa"/>
      </w:tblCellMar>
    </w:tblPr>
  </w:style>
  <w:style w:type="paragraph" w:styleId="2">
    <w:name w:val="Body Text"/>
    <w:basedOn w:val="1"/>
    <w:next w:val="1"/>
    <w:semiHidden/>
    <w:qFormat/>
    <w:uiPriority w:val="0"/>
    <w:rPr>
      <w:rFonts w:ascii="宋体" w:hAnsi="宋体" w:eastAsia="宋体" w:cs="宋体"/>
      <w:sz w:val="20"/>
      <w:szCs w:val="20"/>
    </w:rPr>
  </w:style>
  <w:style w:type="table" w:styleId="4">
    <w:name w:val="Table Grid"/>
    <w:basedOn w:val="3"/>
    <w:qFormat/>
    <w:uiPriority w:val="0"/>
    <w:pPr>
      <w:widowControl w:val="0"/>
      <w:jc w:val="both"/>
    </w:pPr>
    <w:tblPr>
      <w:tblStyle w:val="3"/>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null3"/>
    <w:qFormat/>
    <w:uiPriority w:val="0"/>
    <w:pPr>
      <w:spacing w:after="160" w:line="278" w:lineRule="auto"/>
    </w:pPr>
    <w:rPr>
      <w:rFonts w:hint="eastAsia" w:ascii="Calibri" w:hAnsi="Calibri" w:eastAsia="宋体" w:cs="Times New Roman"/>
      <w:lang w:val="en-US" w:eastAsia="zh-Hans" w:bidi="ar-SA"/>
    </w:rPr>
  </w:style>
  <w:style w:type="paragraph" w:customStyle="1" w:styleId="7">
    <w:name w:val="Table Text"/>
    <w:basedOn w:val="1"/>
    <w:semiHidden/>
    <w:qFormat/>
    <w:uiPriority w:val="0"/>
    <w:rPr>
      <w:rFonts w:ascii="宋体" w:hAnsi="宋体" w:eastAsia="宋体" w:cs="宋体"/>
      <w:sz w:val="19"/>
      <w:szCs w:val="19"/>
    </w:rPr>
  </w:style>
  <w:style w:type="table" w:customStyle="1" w:styleId="8">
    <w:name w:val="Table Normal"/>
    <w:unhideWhenUsed/>
    <w:qFormat/>
    <w:uiPriority w:val="0"/>
    <w:tblPr>
      <w:tblStyle w:val="3"/>
      <w:tblCellMar>
        <w:top w:w="0" w:type="dxa"/>
        <w:left w:w="0" w:type="dxa"/>
        <w:bottom w:w="0" w:type="dxa"/>
        <w:right w:w="0" w:type="dxa"/>
      </w:tblCellMar>
    </w:tblPr>
  </w:style>
  <w:style w:type="paragraph" w:customStyle="1" w:styleId="9">
    <w:name w:val="正文B"/>
    <w:basedOn w:val="1"/>
    <w:qFormat/>
    <w:uiPriority w:val="0"/>
    <w:pPr>
      <w:adjustRightInd w:val="0"/>
      <w:snapToGrid w:val="0"/>
      <w:spacing w:line="0" w:lineRule="atLeast"/>
      <w:jc w:val="center"/>
    </w:pPr>
    <w:rPr>
      <w:rFonts w:ascii="仿宋_GB2312" w:eastAsia="仿宋_GB2312"/>
      <w:kern w:val="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1368</Words>
  <Characters>1420</Characters>
  <Lines>0</Lines>
  <Paragraphs>0</Paragraphs>
  <TotalTime>1</TotalTime>
  <ScaleCrop>false</ScaleCrop>
  <LinksUpToDate>false</LinksUpToDate>
  <CharactersWithSpaces>1798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2026-04-02T11:03:35Z</dcterms:created>
  <dc:creator>PC</dc:creator>
  <cp:lastModifiedBy>PC</cp:lastModifiedBy>
  <dcterms:modified xsi:type="dcterms:W3CDTF">2026-04-02T13:21:35Z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eyJoZGlkIjoiMjIyODNiOTg2NTk4MDBiZDY1Y2ZiYzIwZTUyNTAyMTkiLCJ1c2VySWQiOiIzMTU4MzgxNTQifQ==</vt:lpwstr>
  </property>
  <property fmtid="{D5CDD505-2E9C-101B-9397-08002B2CF9AE}" pid="4" name="ICV">
    <vt:lpwstr>DB85A98A2B5644EAB338E6A876A2E387_13</vt:lpwstr>
  </property>
</Properties>
</file>