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版本号：SXJHZB-2026-0423-00320260423001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2026年镇巴县兴隆镇水田坝社区汉杉竹缘标准化腊肉生产线建设项目（工程）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SXJHZB-2026-0423-003</w:t>
      </w:r>
      <w:r>
        <w:br/>
      </w:r>
      <w:r>
        <w:br/>
      </w:r>
      <w:r>
        <w:br/>
      </w:r>
    </w:p>
    <w:p>
      <w:pPr>
        <w:pStyle w:val="null3"/>
        <w:jc w:val="center"/>
        <w:outlineLvl w:val="2"/>
      </w:pPr>
      <w:r>
        <w:rPr>
          <w:rFonts w:ascii="仿宋_GB2312" w:hAnsi="仿宋_GB2312" w:cs="仿宋_GB2312" w:eastAsia="仿宋_GB2312"/>
          <w:sz w:val="28"/>
          <w:b/>
        </w:rPr>
        <w:t>镇巴县兴隆镇人民政府</w:t>
      </w:r>
    </w:p>
    <w:p>
      <w:pPr>
        <w:pStyle w:val="null3"/>
        <w:jc w:val="center"/>
        <w:outlineLvl w:val="2"/>
      </w:pPr>
      <w:r>
        <w:rPr>
          <w:rFonts w:ascii="仿宋_GB2312" w:hAnsi="仿宋_GB2312" w:cs="仿宋_GB2312" w:eastAsia="仿宋_GB2312"/>
          <w:sz w:val="28"/>
          <w:b/>
        </w:rPr>
        <w:t>陕西巨和项目管理有限责任公司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陕西巨和项目管理有限责任公司</w:t>
      </w:r>
      <w:r>
        <w:rPr>
          <w:rFonts w:ascii="仿宋_GB2312" w:hAnsi="仿宋_GB2312" w:cs="仿宋_GB2312" w:eastAsia="仿宋_GB2312"/>
        </w:rPr>
        <w:t>（以下简称“代理机构”）受</w:t>
      </w:r>
      <w:r>
        <w:rPr>
          <w:rFonts w:ascii="仿宋_GB2312" w:hAnsi="仿宋_GB2312" w:cs="仿宋_GB2312" w:eastAsia="仿宋_GB2312"/>
        </w:rPr>
        <w:t>镇巴县兴隆镇人民政府</w:t>
      </w:r>
      <w:r>
        <w:rPr>
          <w:rFonts w:ascii="仿宋_GB2312" w:hAnsi="仿宋_GB2312" w:cs="仿宋_GB2312" w:eastAsia="仿宋_GB2312"/>
        </w:rPr>
        <w:t>委托，拟对</w:t>
      </w:r>
      <w:r>
        <w:rPr>
          <w:rFonts w:ascii="仿宋_GB2312" w:hAnsi="仿宋_GB2312" w:cs="仿宋_GB2312" w:eastAsia="仿宋_GB2312"/>
        </w:rPr>
        <w:t>2026年镇巴县兴隆镇水田坝社区汉杉竹缘标准化腊肉生产线建设项目（工程）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SXJHZB-2026-0423-003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2026年镇巴县兴隆镇水田坝社区汉杉竹缘标准化腊肉生产线建设项目（工程）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对原车间内部进行改造,采用80mm厚岩棉夹芯板进行分隔,改造车间建筑面积486.63平方米,新增做自流平地面，矿棉板吊顶以及配套的电气、给排水、消防设施等。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采购包1（2026年镇巴县兴隆镇水田社区汉杉竹缘标准化腊肉生产线建设项目（工程））：属于专门面向中小企业采购。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3、供应商资质及拟派项目负责人资格：供应商须具有建设行政主管部门颁发的建筑工程施工总承包三级及以上资质，具有有效的安全生产许可证；拟派项目经理须具有建筑工程专业注册建造师二级及以上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4、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5、中小企业声明函：本项目专门面向中小企业采购，供应商应提供中小企业声明函，供应商需在项目电子化交易系统中按要求上传相应证明文件并进行电子签章；</w:t>
      </w:r>
    </w:p>
    <w:p>
      <w:pPr>
        <w:pStyle w:val="null3"/>
      </w:pPr>
      <w:r>
        <w:rPr>
          <w:rFonts w:ascii="仿宋_GB2312" w:hAnsi="仿宋_GB2312" w:cs="仿宋_GB2312" w:eastAsia="仿宋_GB2312"/>
        </w:rPr>
        <w:t>6、非联合体磋商承诺函：本项目不接受联合体磋商，单位负责人为同一人或者存在直接控股、管理关系的不同单位，不得同时参加本项目磋商，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镇巴县兴隆镇人民政府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陕西省汉中市镇巴县兴隆镇水田坝社区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镇巴县兴隆镇人民政府经办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18829668868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陕西巨和项目管理有限责任公司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陕西省汉中市镇巴县泾洋街道办河西路粮食局五楼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15332521029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采购包1：373,875.15元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 2、采购代理服务费的缴纳方式:在领取《成交通知书》前向采购代理机均一次性全额缴纳采购代理服务费。3、代理服务费的具体金额后续见本项目中标（成交）结果公告。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镇巴县兴隆镇人民政府</w:t>
      </w:r>
      <w:r>
        <w:rPr>
          <w:rFonts w:ascii="仿宋_GB2312" w:hAnsi="仿宋_GB2312" w:cs="仿宋_GB2312" w:eastAsia="仿宋_GB2312"/>
        </w:rPr>
        <w:t>和</w:t>
      </w:r>
      <w:r>
        <w:rPr>
          <w:rFonts w:ascii="仿宋_GB2312" w:hAnsi="仿宋_GB2312" w:cs="仿宋_GB2312" w:eastAsia="仿宋_GB2312"/>
        </w:rPr>
        <w:t>陕西巨和项目管理有限责任公司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镇巴县兴隆镇人民政府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陕西巨和项目管理有限责任公司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镇巴县兴隆镇人民政府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陕西巨和项目管理有限责任公司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本项目履约验收严格按照国家法律法规、行业规范、相关技术标准及合同约定要求开展验收工作，验收内容完整、程序规范、结果客观公正，项目合格后方予以验收通过。</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联系人：黄女士</w:t>
      </w:r>
    </w:p>
    <w:p>
      <w:pPr>
        <w:pStyle w:val="null3"/>
      </w:pPr>
      <w:r>
        <w:rPr>
          <w:rFonts w:ascii="仿宋_GB2312" w:hAnsi="仿宋_GB2312" w:cs="仿宋_GB2312" w:eastAsia="仿宋_GB2312"/>
        </w:rPr>
        <w:t>联系电话：15332521029</w:t>
      </w:r>
    </w:p>
    <w:p>
      <w:pPr>
        <w:pStyle w:val="null3"/>
      </w:pPr>
      <w:r>
        <w:rPr>
          <w:rFonts w:ascii="仿宋_GB2312" w:hAnsi="仿宋_GB2312" w:cs="仿宋_GB2312" w:eastAsia="仿宋_GB2312"/>
        </w:rPr>
        <w:t>地址：汉中市镇巴县河西路粮食局五楼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373,875.15</w:t>
      </w:r>
    </w:p>
    <w:p>
      <w:pPr>
        <w:pStyle w:val="null3"/>
      </w:pPr>
      <w:r>
        <w:rPr>
          <w:rFonts w:ascii="仿宋_GB2312" w:hAnsi="仿宋_GB2312" w:cs="仿宋_GB2312" w:eastAsia="仿宋_GB2312"/>
        </w:rPr>
        <w:t>采购包最高限价（元）: 373,873.04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2026年镇巴县兴隆镇水田坝社区汉杉竹缘标准化腊肉生产线建设项目（工程）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373,875.15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标的名称：2026年镇巴县兴隆镇水田坝社区汉杉竹缘标准化腊肉生产线建设项目（工程）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95"/>
            </w:pPr>
            <w:r>
              <w:rPr>
                <w:rFonts w:ascii="仿宋_GB2312" w:hAnsi="仿宋_GB2312" w:cs="仿宋_GB2312" w:eastAsia="仿宋_GB2312"/>
                <w:sz w:val="28"/>
                <w:b/>
              </w:rPr>
              <w:t>一、工程概况</w:t>
            </w:r>
          </w:p>
          <w:p>
            <w:pPr>
              <w:pStyle w:val="null3"/>
              <w:spacing w:after="195"/>
              <w:ind w:firstLine="560"/>
            </w:pPr>
            <w:r>
              <w:rPr>
                <w:rFonts w:ascii="仿宋_GB2312" w:hAnsi="仿宋_GB2312" w:cs="仿宋_GB2312" w:eastAsia="仿宋_GB2312"/>
                <w:sz w:val="28"/>
              </w:rPr>
              <w:t>2026年镇巴县兴隆镇水田社区汉杉竹缘标准化腊肉生产线建设项目（工程），本工程位于镇巴县兴隆镇，工程主要内容为：</w:t>
            </w:r>
          </w:p>
          <w:p>
            <w:pPr>
              <w:pStyle w:val="null3"/>
              <w:spacing w:after="195"/>
              <w:ind w:firstLine="560"/>
            </w:pPr>
            <w:r>
              <w:rPr>
                <w:rFonts w:ascii="仿宋_GB2312" w:hAnsi="仿宋_GB2312" w:cs="仿宋_GB2312" w:eastAsia="仿宋_GB2312"/>
                <w:sz w:val="28"/>
              </w:rPr>
              <w:t>对原车间内部进行改造</w:t>
            </w:r>
            <w:r>
              <w:rPr>
                <w:rFonts w:ascii="仿宋_GB2312" w:hAnsi="仿宋_GB2312" w:cs="仿宋_GB2312" w:eastAsia="仿宋_GB2312"/>
                <w:sz w:val="28"/>
              </w:rPr>
              <w:t>,采用80mm厚岩棉夹芯板进行分隔,改造车间建筑面积486.63平方米,新增做自流平地面，矿棉板吊顶以及配套的电气、给排水、消防设施等。</w:t>
            </w:r>
          </w:p>
          <w:p>
            <w:pPr>
              <w:pStyle w:val="null3"/>
              <w:spacing w:after="195"/>
            </w:pPr>
            <w:r>
              <w:rPr>
                <w:rFonts w:ascii="仿宋_GB2312" w:hAnsi="仿宋_GB2312" w:cs="仿宋_GB2312" w:eastAsia="仿宋_GB2312"/>
                <w:sz w:val="28"/>
                <w:b/>
              </w:rPr>
              <w:t>二、编制依据</w:t>
            </w:r>
          </w:p>
          <w:p>
            <w:pPr>
              <w:pStyle w:val="null3"/>
              <w:spacing w:after="195"/>
              <w:ind w:firstLine="560"/>
            </w:pPr>
            <w:r>
              <w:rPr>
                <w:rFonts w:ascii="仿宋_GB2312" w:hAnsi="仿宋_GB2312" w:cs="仿宋_GB2312" w:eastAsia="仿宋_GB2312"/>
                <w:sz w:val="28"/>
              </w:rPr>
              <w:t>1、</w:t>
            </w:r>
            <w:r>
              <w:rPr>
                <w:rFonts w:ascii="仿宋_GB2312" w:hAnsi="仿宋_GB2312" w:cs="仿宋_GB2312" w:eastAsia="仿宋_GB2312"/>
                <w:sz w:val="28"/>
              </w:rPr>
              <w:t>由</w:t>
            </w:r>
            <w:r>
              <w:rPr>
                <w:rFonts w:ascii="仿宋_GB2312" w:hAnsi="仿宋_GB2312" w:cs="仿宋_GB2312" w:eastAsia="仿宋_GB2312"/>
                <w:sz w:val="28"/>
              </w:rPr>
              <w:t>贵单位提供的</w:t>
            </w:r>
            <w:r>
              <w:rPr>
                <w:rFonts w:ascii="仿宋_GB2312" w:hAnsi="仿宋_GB2312" w:cs="仿宋_GB2312" w:eastAsia="仿宋_GB2312"/>
                <w:sz w:val="28"/>
              </w:rPr>
              <w:t>2026年镇巴县兴隆镇水田社区汉杉竹缘标准化腊肉生产线建设项目</w:t>
            </w:r>
            <w:r>
              <w:rPr>
                <w:rFonts w:ascii="仿宋_GB2312" w:hAnsi="仿宋_GB2312" w:cs="仿宋_GB2312" w:eastAsia="仿宋_GB2312"/>
                <w:sz w:val="28"/>
              </w:rPr>
              <w:t>施工图</w:t>
            </w:r>
            <w:r>
              <w:rPr>
                <w:rFonts w:ascii="仿宋_GB2312" w:hAnsi="仿宋_GB2312" w:cs="仿宋_GB2312" w:eastAsia="仿宋_GB2312"/>
                <w:sz w:val="28"/>
              </w:rPr>
              <w:t>及相关要求</w:t>
            </w:r>
            <w:r>
              <w:rPr>
                <w:rFonts w:ascii="仿宋_GB2312" w:hAnsi="仿宋_GB2312" w:cs="仿宋_GB2312" w:eastAsia="仿宋_GB2312"/>
                <w:sz w:val="28"/>
              </w:rPr>
              <w:t>；</w:t>
            </w:r>
          </w:p>
          <w:p>
            <w:pPr>
              <w:pStyle w:val="null3"/>
              <w:spacing w:after="195"/>
              <w:ind w:firstLine="560"/>
            </w:pPr>
            <w:r>
              <w:rPr>
                <w:rFonts w:ascii="仿宋_GB2312" w:hAnsi="仿宋_GB2312" w:cs="仿宋_GB2312" w:eastAsia="仿宋_GB2312"/>
                <w:sz w:val="28"/>
              </w:rPr>
              <w:t>2、《陕西省建设工程费用规则(2025)》</w:t>
            </w:r>
            <w:r>
              <w:rPr>
                <w:rFonts w:ascii="仿宋_GB2312" w:hAnsi="仿宋_GB2312" w:cs="仿宋_GB2312" w:eastAsia="仿宋_GB2312"/>
                <w:sz w:val="28"/>
              </w:rPr>
              <w:t>；</w:t>
            </w:r>
          </w:p>
          <w:p>
            <w:pPr>
              <w:pStyle w:val="null3"/>
              <w:spacing w:after="195"/>
              <w:ind w:firstLine="560"/>
            </w:pPr>
            <w:r>
              <w:rPr>
                <w:rFonts w:ascii="仿宋_GB2312" w:hAnsi="仿宋_GB2312" w:cs="仿宋_GB2312" w:eastAsia="仿宋_GB2312"/>
                <w:sz w:val="28"/>
              </w:rPr>
              <w:t>3、</w:t>
            </w:r>
            <w:r>
              <w:rPr>
                <w:rFonts w:ascii="仿宋_GB2312" w:hAnsi="仿宋_GB2312" w:cs="仿宋_GB2312" w:eastAsia="仿宋_GB2312"/>
                <w:sz w:val="28"/>
              </w:rPr>
              <w:t>《陕西省基价表</w:t>
            </w:r>
            <w:r>
              <w:rPr>
                <w:rFonts w:ascii="仿宋_GB2312" w:hAnsi="仿宋_GB2312" w:cs="仿宋_GB2312" w:eastAsia="仿宋_GB2312"/>
                <w:sz w:val="28"/>
              </w:rPr>
              <w:t>(2025)</w:t>
            </w:r>
            <w:r>
              <w:rPr>
                <w:rFonts w:ascii="仿宋_GB2312" w:hAnsi="仿宋_GB2312" w:cs="仿宋_GB2312" w:eastAsia="仿宋_GB2312"/>
                <w:sz w:val="28"/>
              </w:rPr>
              <w:t>，</w:t>
            </w:r>
            <w:r>
              <w:rPr>
                <w:rFonts w:ascii="仿宋_GB2312" w:hAnsi="仿宋_GB2312" w:cs="仿宋_GB2312" w:eastAsia="仿宋_GB2312"/>
                <w:sz w:val="28"/>
              </w:rPr>
              <w:t>以下专业：</w:t>
            </w:r>
            <w:r>
              <w:rPr>
                <w:rFonts w:ascii="仿宋_GB2312" w:hAnsi="仿宋_GB2312" w:cs="仿宋_GB2312" w:eastAsia="仿宋_GB2312"/>
                <w:sz w:val="28"/>
              </w:rPr>
              <w:t>房屋建筑与装饰</w:t>
            </w:r>
            <w:r>
              <w:rPr>
                <w:rFonts w:ascii="仿宋_GB2312" w:hAnsi="仿宋_GB2312" w:cs="仿宋_GB2312" w:eastAsia="仿宋_GB2312"/>
                <w:sz w:val="28"/>
              </w:rPr>
              <w:t>工程</w:t>
            </w:r>
            <w:r>
              <w:rPr>
                <w:rFonts w:ascii="仿宋_GB2312" w:hAnsi="仿宋_GB2312" w:cs="仿宋_GB2312" w:eastAsia="仿宋_GB2312"/>
                <w:sz w:val="28"/>
              </w:rPr>
              <w:t>、</w:t>
            </w:r>
            <w:r>
              <w:rPr>
                <w:rFonts w:ascii="仿宋_GB2312" w:hAnsi="仿宋_GB2312" w:cs="仿宋_GB2312" w:eastAsia="仿宋_GB2312"/>
                <w:sz w:val="28"/>
              </w:rPr>
              <w:t>通用</w:t>
            </w:r>
            <w:r>
              <w:rPr>
                <w:rFonts w:ascii="仿宋_GB2312" w:hAnsi="仿宋_GB2312" w:cs="仿宋_GB2312" w:eastAsia="仿宋_GB2312"/>
                <w:sz w:val="28"/>
              </w:rPr>
              <w:t>安装</w:t>
            </w:r>
            <w:r>
              <w:rPr>
                <w:rFonts w:ascii="仿宋_GB2312" w:hAnsi="仿宋_GB2312" w:cs="仿宋_GB2312" w:eastAsia="仿宋_GB2312"/>
                <w:sz w:val="28"/>
              </w:rPr>
              <w:t>工程</w:t>
            </w:r>
            <w:r>
              <w:rPr>
                <w:rFonts w:ascii="仿宋_GB2312" w:hAnsi="仿宋_GB2312" w:cs="仿宋_GB2312" w:eastAsia="仿宋_GB2312"/>
                <w:sz w:val="28"/>
              </w:rPr>
              <w:t>、市政</w:t>
            </w:r>
            <w:r>
              <w:rPr>
                <w:rFonts w:ascii="仿宋_GB2312" w:hAnsi="仿宋_GB2312" w:cs="仿宋_GB2312" w:eastAsia="仿宋_GB2312"/>
                <w:sz w:val="28"/>
              </w:rPr>
              <w:t>工程</w:t>
            </w:r>
            <w:r>
              <w:rPr>
                <w:rFonts w:ascii="仿宋_GB2312" w:hAnsi="仿宋_GB2312" w:cs="仿宋_GB2312" w:eastAsia="仿宋_GB2312"/>
                <w:sz w:val="28"/>
              </w:rPr>
              <w:t>、园林绿化</w:t>
            </w:r>
            <w:r>
              <w:rPr>
                <w:rFonts w:ascii="仿宋_GB2312" w:hAnsi="仿宋_GB2312" w:cs="仿宋_GB2312" w:eastAsia="仿宋_GB2312"/>
                <w:sz w:val="28"/>
              </w:rPr>
              <w:t>工程</w:t>
            </w:r>
            <w:r>
              <w:rPr>
                <w:rFonts w:ascii="仿宋_GB2312" w:hAnsi="仿宋_GB2312" w:cs="仿宋_GB2312" w:eastAsia="仿宋_GB2312"/>
                <w:sz w:val="28"/>
              </w:rPr>
              <w:t>、城市地下综合管廊</w:t>
            </w:r>
            <w:r>
              <w:rPr>
                <w:rFonts w:ascii="仿宋_GB2312" w:hAnsi="仿宋_GB2312" w:cs="仿宋_GB2312" w:eastAsia="仿宋_GB2312"/>
                <w:sz w:val="28"/>
              </w:rPr>
              <w:t>工程</w:t>
            </w:r>
            <w:r>
              <w:rPr>
                <w:rFonts w:ascii="仿宋_GB2312" w:hAnsi="仿宋_GB2312" w:cs="仿宋_GB2312" w:eastAsia="仿宋_GB2312"/>
                <w:sz w:val="28"/>
              </w:rPr>
              <w:t>、绿色建筑</w:t>
            </w:r>
            <w:r>
              <w:rPr>
                <w:rFonts w:ascii="仿宋_GB2312" w:hAnsi="仿宋_GB2312" w:cs="仿宋_GB2312" w:eastAsia="仿宋_GB2312"/>
                <w:sz w:val="28"/>
              </w:rPr>
              <w:t>工程</w:t>
            </w:r>
            <w:r>
              <w:rPr>
                <w:rFonts w:ascii="仿宋_GB2312" w:hAnsi="仿宋_GB2312" w:cs="仿宋_GB2312" w:eastAsia="仿宋_GB2312"/>
                <w:sz w:val="28"/>
              </w:rPr>
              <w:t>》</w:t>
            </w:r>
            <w:r>
              <w:rPr>
                <w:rFonts w:ascii="仿宋_GB2312" w:hAnsi="仿宋_GB2312" w:cs="仿宋_GB2312" w:eastAsia="仿宋_GB2312"/>
                <w:sz w:val="28"/>
              </w:rPr>
              <w:t>；</w:t>
            </w:r>
          </w:p>
          <w:p>
            <w:pPr>
              <w:pStyle w:val="null3"/>
              <w:spacing w:after="195"/>
              <w:ind w:firstLine="560"/>
            </w:pPr>
            <w:r>
              <w:rPr>
                <w:rFonts w:ascii="仿宋_GB2312" w:hAnsi="仿宋_GB2312" w:cs="仿宋_GB2312" w:eastAsia="仿宋_GB2312"/>
                <w:sz w:val="28"/>
              </w:rPr>
              <w:t>4</w:t>
            </w:r>
            <w:r>
              <w:rPr>
                <w:rFonts w:ascii="仿宋_GB2312" w:hAnsi="仿宋_GB2312" w:cs="仿宋_GB2312" w:eastAsia="仿宋_GB2312"/>
                <w:sz w:val="28"/>
              </w:rPr>
              <w:t>、《陕西省消耗量定额</w:t>
            </w:r>
            <w:r>
              <w:rPr>
                <w:rFonts w:ascii="仿宋_GB2312" w:hAnsi="仿宋_GB2312" w:cs="仿宋_GB2312" w:eastAsia="仿宋_GB2312"/>
                <w:sz w:val="28"/>
              </w:rPr>
              <w:t>(2025)</w:t>
            </w:r>
            <w:r>
              <w:rPr>
                <w:rFonts w:ascii="仿宋_GB2312" w:hAnsi="仿宋_GB2312" w:cs="仿宋_GB2312" w:eastAsia="仿宋_GB2312"/>
                <w:sz w:val="28"/>
              </w:rPr>
              <w:t>，</w:t>
            </w:r>
            <w:r>
              <w:rPr>
                <w:rFonts w:ascii="仿宋_GB2312" w:hAnsi="仿宋_GB2312" w:cs="仿宋_GB2312" w:eastAsia="仿宋_GB2312"/>
                <w:sz w:val="28"/>
              </w:rPr>
              <w:t>以下专业：</w:t>
            </w:r>
            <w:r>
              <w:rPr>
                <w:rFonts w:ascii="仿宋_GB2312" w:hAnsi="仿宋_GB2312" w:cs="仿宋_GB2312" w:eastAsia="仿宋_GB2312"/>
                <w:sz w:val="28"/>
              </w:rPr>
              <w:t>房屋建筑与装饰</w:t>
            </w:r>
            <w:r>
              <w:rPr>
                <w:rFonts w:ascii="仿宋_GB2312" w:hAnsi="仿宋_GB2312" w:cs="仿宋_GB2312" w:eastAsia="仿宋_GB2312"/>
                <w:sz w:val="28"/>
              </w:rPr>
              <w:t>工程</w:t>
            </w:r>
            <w:r>
              <w:rPr>
                <w:rFonts w:ascii="仿宋_GB2312" w:hAnsi="仿宋_GB2312" w:cs="仿宋_GB2312" w:eastAsia="仿宋_GB2312"/>
                <w:sz w:val="28"/>
              </w:rPr>
              <w:t>、</w:t>
            </w:r>
            <w:r>
              <w:rPr>
                <w:rFonts w:ascii="仿宋_GB2312" w:hAnsi="仿宋_GB2312" w:cs="仿宋_GB2312" w:eastAsia="仿宋_GB2312"/>
                <w:sz w:val="28"/>
              </w:rPr>
              <w:t>通用</w:t>
            </w:r>
            <w:r>
              <w:rPr>
                <w:rFonts w:ascii="仿宋_GB2312" w:hAnsi="仿宋_GB2312" w:cs="仿宋_GB2312" w:eastAsia="仿宋_GB2312"/>
                <w:sz w:val="28"/>
              </w:rPr>
              <w:t>安装</w:t>
            </w:r>
            <w:r>
              <w:rPr>
                <w:rFonts w:ascii="仿宋_GB2312" w:hAnsi="仿宋_GB2312" w:cs="仿宋_GB2312" w:eastAsia="仿宋_GB2312"/>
                <w:sz w:val="28"/>
              </w:rPr>
              <w:t>工程</w:t>
            </w:r>
            <w:r>
              <w:rPr>
                <w:rFonts w:ascii="仿宋_GB2312" w:hAnsi="仿宋_GB2312" w:cs="仿宋_GB2312" w:eastAsia="仿宋_GB2312"/>
                <w:sz w:val="28"/>
              </w:rPr>
              <w:t>、市政</w:t>
            </w:r>
            <w:r>
              <w:rPr>
                <w:rFonts w:ascii="仿宋_GB2312" w:hAnsi="仿宋_GB2312" w:cs="仿宋_GB2312" w:eastAsia="仿宋_GB2312"/>
                <w:sz w:val="28"/>
              </w:rPr>
              <w:t>工程</w:t>
            </w:r>
            <w:r>
              <w:rPr>
                <w:rFonts w:ascii="仿宋_GB2312" w:hAnsi="仿宋_GB2312" w:cs="仿宋_GB2312" w:eastAsia="仿宋_GB2312"/>
                <w:sz w:val="28"/>
              </w:rPr>
              <w:t>、园林绿化</w:t>
            </w:r>
            <w:r>
              <w:rPr>
                <w:rFonts w:ascii="仿宋_GB2312" w:hAnsi="仿宋_GB2312" w:cs="仿宋_GB2312" w:eastAsia="仿宋_GB2312"/>
                <w:sz w:val="28"/>
              </w:rPr>
              <w:t>工程</w:t>
            </w:r>
            <w:r>
              <w:rPr>
                <w:rFonts w:ascii="仿宋_GB2312" w:hAnsi="仿宋_GB2312" w:cs="仿宋_GB2312" w:eastAsia="仿宋_GB2312"/>
                <w:sz w:val="28"/>
              </w:rPr>
              <w:t>、城市地下综合管廊</w:t>
            </w:r>
            <w:r>
              <w:rPr>
                <w:rFonts w:ascii="仿宋_GB2312" w:hAnsi="仿宋_GB2312" w:cs="仿宋_GB2312" w:eastAsia="仿宋_GB2312"/>
                <w:sz w:val="28"/>
              </w:rPr>
              <w:t>工程</w:t>
            </w:r>
            <w:r>
              <w:rPr>
                <w:rFonts w:ascii="仿宋_GB2312" w:hAnsi="仿宋_GB2312" w:cs="仿宋_GB2312" w:eastAsia="仿宋_GB2312"/>
                <w:sz w:val="28"/>
              </w:rPr>
              <w:t>、绿色建筑</w:t>
            </w:r>
            <w:r>
              <w:rPr>
                <w:rFonts w:ascii="仿宋_GB2312" w:hAnsi="仿宋_GB2312" w:cs="仿宋_GB2312" w:eastAsia="仿宋_GB2312"/>
                <w:sz w:val="28"/>
              </w:rPr>
              <w:t>工程</w:t>
            </w:r>
            <w:r>
              <w:rPr>
                <w:rFonts w:ascii="仿宋_GB2312" w:hAnsi="仿宋_GB2312" w:cs="仿宋_GB2312" w:eastAsia="仿宋_GB2312"/>
                <w:sz w:val="28"/>
              </w:rPr>
              <w:t>》</w:t>
            </w:r>
            <w:r>
              <w:rPr>
                <w:rFonts w:ascii="仿宋_GB2312" w:hAnsi="仿宋_GB2312" w:cs="仿宋_GB2312" w:eastAsia="仿宋_GB2312"/>
                <w:sz w:val="28"/>
              </w:rPr>
              <w:t>；</w:t>
            </w:r>
          </w:p>
          <w:p>
            <w:pPr>
              <w:pStyle w:val="null3"/>
              <w:spacing w:after="195"/>
              <w:ind w:firstLine="560"/>
            </w:pPr>
            <w:r>
              <w:rPr>
                <w:rFonts w:ascii="仿宋_GB2312" w:hAnsi="仿宋_GB2312" w:cs="仿宋_GB2312" w:eastAsia="仿宋_GB2312"/>
                <w:sz w:val="28"/>
              </w:rPr>
              <w:t>5、</w:t>
            </w:r>
            <w:r>
              <w:rPr>
                <w:rFonts w:ascii="仿宋_GB2312" w:hAnsi="仿宋_GB2312" w:cs="仿宋_GB2312" w:eastAsia="仿宋_GB2312"/>
                <w:sz w:val="28"/>
              </w:rPr>
              <w:t>《陕西省建设工程施工机械台班费用定额</w:t>
            </w:r>
            <w:r>
              <w:rPr>
                <w:rFonts w:ascii="仿宋_GB2312" w:hAnsi="仿宋_GB2312" w:cs="仿宋_GB2312" w:eastAsia="仿宋_GB2312"/>
                <w:sz w:val="28"/>
              </w:rPr>
              <w:t>(2025)》</w:t>
            </w:r>
            <w:r>
              <w:rPr>
                <w:rFonts w:ascii="仿宋_GB2312" w:hAnsi="仿宋_GB2312" w:cs="仿宋_GB2312" w:eastAsia="仿宋_GB2312"/>
                <w:sz w:val="28"/>
              </w:rPr>
              <w:t>；</w:t>
            </w:r>
          </w:p>
          <w:p>
            <w:pPr>
              <w:pStyle w:val="null3"/>
              <w:spacing w:after="195"/>
              <w:ind w:firstLine="560"/>
            </w:pP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陕西省建设工程施工仪器仪表台班费用定额</w:t>
            </w:r>
            <w:r>
              <w:rPr>
                <w:rFonts w:ascii="仿宋_GB2312" w:hAnsi="仿宋_GB2312" w:cs="仿宋_GB2312" w:eastAsia="仿宋_GB2312"/>
                <w:sz w:val="28"/>
              </w:rPr>
              <w:t>(2025)</w:t>
            </w:r>
            <w:r>
              <w:rPr>
                <w:rFonts w:ascii="仿宋_GB2312" w:hAnsi="仿宋_GB2312" w:cs="仿宋_GB2312" w:eastAsia="仿宋_GB2312"/>
                <w:sz w:val="28"/>
              </w:rPr>
              <w:t>》</w:t>
            </w:r>
            <w:r>
              <w:rPr>
                <w:rFonts w:ascii="仿宋_GB2312" w:hAnsi="仿宋_GB2312" w:cs="仿宋_GB2312" w:eastAsia="仿宋_GB2312"/>
                <w:sz w:val="28"/>
              </w:rPr>
              <w:t>；</w:t>
            </w:r>
          </w:p>
          <w:p>
            <w:pPr>
              <w:pStyle w:val="null3"/>
              <w:spacing w:after="195"/>
              <w:ind w:firstLine="560"/>
            </w:pPr>
            <w:r>
              <w:rPr>
                <w:rFonts w:ascii="仿宋_GB2312" w:hAnsi="仿宋_GB2312" w:cs="仿宋_GB2312" w:eastAsia="仿宋_GB2312"/>
                <w:sz w:val="28"/>
              </w:rPr>
              <w:t>7</w:t>
            </w:r>
            <w:r>
              <w:rPr>
                <w:rFonts w:ascii="仿宋_GB2312" w:hAnsi="仿宋_GB2312" w:cs="仿宋_GB2312" w:eastAsia="仿宋_GB2312"/>
                <w:sz w:val="28"/>
              </w:rPr>
              <w:t>、材料价格按</w:t>
            </w:r>
            <w:r>
              <w:rPr>
                <w:rFonts w:ascii="仿宋_GB2312" w:hAnsi="仿宋_GB2312" w:cs="仿宋_GB2312" w:eastAsia="仿宋_GB2312"/>
                <w:sz w:val="28"/>
              </w:rPr>
              <w:t>202</w:t>
            </w:r>
            <w:r>
              <w:rPr>
                <w:rFonts w:ascii="仿宋_GB2312" w:hAnsi="仿宋_GB2312" w:cs="仿宋_GB2312" w:eastAsia="仿宋_GB2312"/>
                <w:sz w:val="28"/>
              </w:rPr>
              <w:t>6</w:t>
            </w:r>
            <w:r>
              <w:rPr>
                <w:rFonts w:ascii="仿宋_GB2312" w:hAnsi="仿宋_GB2312" w:cs="仿宋_GB2312" w:eastAsia="仿宋_GB2312"/>
                <w:sz w:val="28"/>
              </w:rPr>
              <w:t>年第</w:t>
            </w:r>
            <w:r>
              <w:rPr>
                <w:rFonts w:ascii="仿宋_GB2312" w:hAnsi="仿宋_GB2312" w:cs="仿宋_GB2312" w:eastAsia="仿宋_GB2312"/>
                <w:sz w:val="28"/>
              </w:rPr>
              <w:t>2</w:t>
            </w:r>
            <w:r>
              <w:rPr>
                <w:rFonts w:ascii="仿宋_GB2312" w:hAnsi="仿宋_GB2312" w:cs="仿宋_GB2312" w:eastAsia="仿宋_GB2312"/>
                <w:sz w:val="28"/>
              </w:rPr>
              <w:t>期《汉中市建设工程造价信息》计入</w:t>
            </w:r>
            <w:r>
              <w:rPr>
                <w:rFonts w:ascii="仿宋_GB2312" w:hAnsi="仿宋_GB2312" w:cs="仿宋_GB2312" w:eastAsia="仿宋_GB2312"/>
                <w:sz w:val="28"/>
              </w:rPr>
              <w:t>；</w:t>
            </w:r>
          </w:p>
          <w:p>
            <w:pPr>
              <w:pStyle w:val="null3"/>
              <w:spacing w:after="195"/>
              <w:ind w:firstLine="560"/>
            </w:pPr>
            <w:r>
              <w:rPr>
                <w:rFonts w:ascii="仿宋_GB2312" w:hAnsi="仿宋_GB2312" w:cs="仿宋_GB2312" w:eastAsia="仿宋_GB2312"/>
                <w:sz w:val="28"/>
              </w:rPr>
              <w:t>8</w:t>
            </w:r>
            <w:r>
              <w:rPr>
                <w:rFonts w:ascii="仿宋_GB2312" w:hAnsi="仿宋_GB2312" w:cs="仿宋_GB2312" w:eastAsia="仿宋_GB2312"/>
                <w:sz w:val="28"/>
              </w:rPr>
              <w:t>、运用广联达云计价平台</w:t>
            </w:r>
            <w:r>
              <w:rPr>
                <w:rFonts w:ascii="仿宋_GB2312" w:hAnsi="仿宋_GB2312" w:cs="仿宋_GB2312" w:eastAsia="仿宋_GB2312"/>
                <w:sz w:val="28"/>
              </w:rPr>
              <w:t xml:space="preserve">GCCP </w:t>
            </w:r>
            <w:r>
              <w:rPr>
                <w:rFonts w:ascii="仿宋_GB2312" w:hAnsi="仿宋_GB2312" w:cs="仿宋_GB2312" w:eastAsia="仿宋_GB2312"/>
                <w:sz w:val="28"/>
              </w:rPr>
              <w:t>7</w:t>
            </w:r>
            <w:r>
              <w:rPr>
                <w:rFonts w:ascii="仿宋_GB2312" w:hAnsi="仿宋_GB2312" w:cs="仿宋_GB2312" w:eastAsia="仿宋_GB2312"/>
                <w:sz w:val="28"/>
              </w:rPr>
              <w:t xml:space="preserve">.0 </w:t>
            </w:r>
            <w:r>
              <w:rPr>
                <w:rFonts w:ascii="仿宋_GB2312" w:hAnsi="仿宋_GB2312" w:cs="仿宋_GB2312" w:eastAsia="仿宋_GB2312"/>
                <w:sz w:val="28"/>
              </w:rPr>
              <w:t>计价；</w:t>
            </w:r>
          </w:p>
          <w:p>
            <w:pPr>
              <w:pStyle w:val="null3"/>
              <w:spacing w:after="195"/>
            </w:pPr>
            <w:r>
              <w:rPr>
                <w:rFonts w:ascii="仿宋_GB2312" w:hAnsi="仿宋_GB2312" w:cs="仿宋_GB2312" w:eastAsia="仿宋_GB2312"/>
                <w:sz w:val="28"/>
                <w:b/>
              </w:rPr>
              <w:t>三、相关说明</w:t>
            </w:r>
          </w:p>
          <w:p>
            <w:pPr>
              <w:pStyle w:val="null3"/>
              <w:spacing w:after="195"/>
              <w:ind w:firstLine="560"/>
            </w:pPr>
            <w:r>
              <w:rPr>
                <w:rFonts w:ascii="仿宋_GB2312" w:hAnsi="仿宋_GB2312" w:cs="仿宋_GB2312" w:eastAsia="仿宋_GB2312"/>
                <w:sz w:val="28"/>
              </w:rPr>
              <w:t>1、建筑垃圾外运暂按5km计入；</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1、工期：60日历天；2、质量标准：达到规定要求标准。 其他技术要求详见本工程施工图纸及工程量清单。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提供2024年度或2025年度的财务审计报告(成立时间至提交响应文件截止时间不足一年的可提供成立后任意时段的资产负债表)，或其基本存款账 户开户银行自开标时间前六个月内出具的资信证明。依法不需要提供此项的单位应提供相关证明材料:供应商需在项目电子化交易系 统中按要求上传相应证明文件并进行电子签章。</w:t>
            </w:r>
          </w:p>
        </w:tc>
        <w:tc>
          <w:tcPr>
            <w:tcW w:type="dxa" w:w="1661"/>
          </w:tcPr>
          <w:p>
            <w:pPr>
              <w:pStyle w:val="null3"/>
            </w:pPr>
            <w:r>
              <w:rPr>
                <w:rFonts w:ascii="仿宋_GB2312" w:hAnsi="仿宋_GB2312" w:cs="仿宋_GB2312" w:eastAsia="仿宋_GB2312"/>
              </w:rPr>
              <w:t>供应商认为需要提供的其他内容.pdf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报价函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供应商承诺书.pdf 供应商应提交的相关资格证明材料(1).pdf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供应商资质及拟派项目负责人资格</w:t>
            </w:r>
          </w:p>
        </w:tc>
        <w:tc>
          <w:tcPr>
            <w:tcW w:type="dxa" w:w="3322"/>
          </w:tcPr>
          <w:p>
            <w:pPr>
              <w:pStyle w:val="null3"/>
            </w:pPr>
            <w:r>
              <w:rPr>
                <w:rFonts w:ascii="仿宋_GB2312" w:hAnsi="仿宋_GB2312" w:cs="仿宋_GB2312" w:eastAsia="仿宋_GB2312"/>
              </w:rPr>
              <w:t>供应商须具有建设行政主管部门颁发的建筑工程施工总承包三级及以上资质，具有有效的安全生产许可证；拟派项目经理须具有建筑工程专业注册建造师二级及以上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项目经理简历表.docx 供应商应提交的相关资格证明材料(1).pdf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供应商承诺书.pdf 供应商应提交的相关资格证明材料(1).pdf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本项目专门面向中小企业采购，供应商应提供中小企业声明函，供应商需在项目电子化交易系统中按要求上传相应证明文件并进行电子签章；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非联合体磋商承诺函</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本项目不接受联合体磋商，单位负责人为同一人或者存在直接控股、管理关系的不同单位，不得同时参加本项目磋商，供应商需在项目电子化交易系统中按要求上传相应证明文件并进行电子签章；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响应文件封面 已标价工程量清单 报价函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60日历天</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响应文件有法定代表人或授权委托人的签字或 盖章并加盖投标供应商公章</w:t>
            </w:r>
          </w:p>
        </w:tc>
        <w:tc>
          <w:tcPr>
            <w:tcW w:type="dxa" w:w="1661"/>
          </w:tcPr>
          <w:p>
            <w:pPr>
              <w:pStyle w:val="null3"/>
            </w:pPr>
            <w:r>
              <w:rPr>
                <w:rFonts w:ascii="仿宋_GB2312" w:hAnsi="仿宋_GB2312" w:cs="仿宋_GB2312" w:eastAsia="仿宋_GB2312"/>
              </w:rPr>
              <w:t>响应文件封面 报价函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项目施工部署</w:t>
            </w:r>
          </w:p>
        </w:tc>
        <w:tc>
          <w:tcPr>
            <w:tcW w:type="dxa" w:w="2492"/>
          </w:tcPr>
          <w:p>
            <w:pPr>
              <w:pStyle w:val="null3"/>
            </w:pPr>
            <w:r>
              <w:rPr>
                <w:rFonts w:ascii="仿宋_GB2312" w:hAnsi="仿宋_GB2312" w:cs="仿宋_GB2312" w:eastAsia="仿宋_GB2312"/>
              </w:rPr>
              <w:t>一、评审内容 供应商针对本项目编制完善的项目施工部署，内容包含：①核心施工管理内容：施工总体部署、施工方案与技术措施、成本目标、工期目标、质量目标②施工平面布置与安排：现场围挡及出入口管理、交通组织安排、消防安排、施工平面布置图。 二、评审标准 1、完整性：方案必须全面，对评审内容中的各项要求有详细描述； 2、可实施性：切合本项目实际情况，提出步骤清晰、合理的方案； 3、针对性：方案能够紧扣项目实际情况，内容科学合理。 三、赋分标准 ①核心施工管理内容：每完全满足一个评审标准得2分，满分6分； ②施工平面布置与安排：每完全满足一个评审标准得2分，满分6分；未提供或明显套用其他项目内容的不得分。 (缺陷是指:存在不适用项目实际情况的情形、凭空编造、套用其他项目方案、内容前后不一致、前后逻辑错误、涉及的规范及标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安 全 管 理 体 系 与 措 施</w:t>
            </w:r>
          </w:p>
        </w:tc>
        <w:tc>
          <w:tcPr>
            <w:tcW w:type="dxa" w:w="2492"/>
          </w:tcPr>
          <w:p>
            <w:pPr>
              <w:pStyle w:val="null3"/>
            </w:pPr>
            <w:r>
              <w:rPr>
                <w:rFonts w:ascii="仿宋_GB2312" w:hAnsi="仿宋_GB2312" w:cs="仿宋_GB2312" w:eastAsia="仿宋_GB2312"/>
              </w:rPr>
              <w:t>一、评审内容 供应商编制完善的安全技术措施，内容包含：①安全管理制度②安全责任归属划分③安全标识：安全警戒标语、施工人员安全警示服和安全帽穿配要求④安全教育培训。 二、评审标准 1、完整性：方案须全面，对评审内容中的各项要求有详细描述及说明； 2、可实施性：切合本项目实际情况，实施步骤清晰、合理； 3、针对性：方案能够紧扣项目实际情况，内容科学合理。 三、赋分标准 ①安全管理制度：每完全满足一个评审标准得1分，满分3分； ②安全责任归属划分：每完全满足一个评审标准得1分，满3分；③安全标识：每完全满足一个评审标准得1分，满分3分； ④安全教育培训：每完全满足一个评审标准得1分，满分3分。未提供或明显套用其他项目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工 程 进 度 保 证 措 施</w:t>
            </w:r>
          </w:p>
        </w:tc>
        <w:tc>
          <w:tcPr>
            <w:tcW w:type="dxa" w:w="2492"/>
          </w:tcPr>
          <w:p>
            <w:pPr>
              <w:pStyle w:val="null3"/>
            </w:pPr>
            <w:r>
              <w:rPr>
                <w:rFonts w:ascii="仿宋_GB2312" w:hAnsi="仿宋_GB2312" w:cs="仿宋_GB2312" w:eastAsia="仿宋_GB2312"/>
              </w:rPr>
              <w:t>一、评审内容 供应商编制完善的施工总进度计划，内容包含：①施工进度目标②施工进度保障措施。 二、评审标准 1、完整性：方案须全面，对评审内容中的各项要求有详细描述及说明； 2、可实施性：切合本项目实际情况，实施步骤清晰、合理； 3、针对性：方案能够紧扣项目实际情况，内容科学合理。 三、赋分标准 ①施工进度目标：每完全满足一个评审标准得1分，满分3分； ②施工进度保障措施：每完全满足一个评审标准得1分，满分3分。未提供或明显套用其他项目内容的不得分。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质 量 管 理 体 系 与 措 施</w:t>
            </w:r>
          </w:p>
        </w:tc>
        <w:tc>
          <w:tcPr>
            <w:tcW w:type="dxa" w:w="2492"/>
          </w:tcPr>
          <w:p>
            <w:pPr>
              <w:pStyle w:val="null3"/>
            </w:pPr>
            <w:r>
              <w:rPr>
                <w:rFonts w:ascii="仿宋_GB2312" w:hAnsi="仿宋_GB2312" w:cs="仿宋_GB2312" w:eastAsia="仿宋_GB2312"/>
              </w:rPr>
              <w:t>一、评审内容 供应商编制完善的质量技术措施，内容包含：①质量管理目标②施工质量保障措施③施工质量检验制度。 二、评审标准 1、完整性：方案须全面，对评审内容中的各项要求有详细描述及说明； 2、可实施性：切合本项目实际情况，实施步骤清晰、合理；3、针对性：方案能够紧扣项目实际情况，内容科学合理。 三、赋分标准 ①质量管理目标：每完全满足一个评审标准得1分，满分3分； ②施工质量保障措施：每完全满足一个评审标准得1分，满分3分； ③施工质量检验制度：每完全满足一个评审标准得1分，满分3分。未提供或明显套用其他项目 内容的不得分。 (缺陷是指:存在不适用项目实际情况的情形、凭空编造、套用其他项目方案、内容前后不一致、前后逻辑错误、涉及的规范及标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供应商编制完善的环境保护措施，内容包含：①噪音控制措施②防尘及扬尘的控制措施。 二、评审标准 1、完整性：方案须全面，对评审内容中的各项要求有详细描述及说明； 2、可实施性：切合本项目实际情况，实施步骤清晰、合理； 3、针对性：方案能够紧扣项目实际情况，内容科学合理。 三、赋分标准 ①噪音控制措施：每完全满足一个评审标准1分，满分3分； ②防尘及扬尘的控制措施：每完全满足一个评审标准得1分, 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一、评审内容：供应商编制完善的文明施工措施，内容包含：①材料、半成品和机具的堆放管理②文明施工检查措施。 二、评审标准 1、完整性：方案须全面，对评审内容中的各项要求有详细描述及说明； 2、可实施性：切合本项目实际情况，实施步骤清晰、合理；3、针对性：方案能够紧扣项目实际情况，内容科学合理。 三、赋分标准 ①材料、半成品和机具的堆放管理：每完全满足一个评审标准得1分，满分3分； ②文明施工检查措施：每完全满足一个评审标准得1分，满分3分。未提供或明显套用其他项目 内容的不得分。 (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施工设备配置</w:t>
            </w:r>
          </w:p>
        </w:tc>
        <w:tc>
          <w:tcPr>
            <w:tcW w:type="dxa" w:w="2492"/>
          </w:tcPr>
          <w:p>
            <w:pPr>
              <w:pStyle w:val="null3"/>
            </w:pPr>
            <w:r>
              <w:rPr>
                <w:rFonts w:ascii="仿宋_GB2312" w:hAnsi="仿宋_GB2312" w:cs="仿宋_GB2312" w:eastAsia="仿宋_GB2312"/>
              </w:rPr>
              <w:t>针对本项目拟投入的主要施工机械设备配备进行评审，评审标准：1. 完整性：拟投入设备 种类齐全，相关内容描述完整详细，得2分；2. 可实施性：设备配置及进场方案切合项目 实际，步骤清晰、安排合理，得2分；3. 针对性：设备配置方案紧密结合本项目特点，科 学可行、合理适用，得2分。赋分标准：（满分6分）每完全满足一个评审标准得2分，满 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项 目 部 人 员 组 成</w:t>
            </w:r>
          </w:p>
        </w:tc>
        <w:tc>
          <w:tcPr>
            <w:tcW w:type="dxa" w:w="2492"/>
          </w:tcPr>
          <w:p>
            <w:pPr>
              <w:pStyle w:val="null3"/>
            </w:pPr>
            <w:r>
              <w:rPr>
                <w:rFonts w:ascii="仿宋_GB2312" w:hAnsi="仿宋_GB2312" w:cs="仿宋_GB2312" w:eastAsia="仿宋_GB2312"/>
              </w:rPr>
              <w:t>1、①项目管理机构图；②项目现场岗位人员配置方案及各岗位工作职责（含技术负责人、施工员、安全员、资料员、材料员、质量员等核心岗位）；③项目配套管理制度及现场实施保障措施。评审标准：供应商提供方案内容完整详实、逻辑清晰、贴合本项目建设要求，可有效保障项目落地实施的得6分。三项评审内容每缺失一项扣2分；若单项内容表述简略、内容不完善、前后逻辑冲突、模板化套用、与本项目建设需求不匹配、内容杜撰、存在专业常识错误，以及其他影响项目施工实施的缺陷问题，单项扣1分，本项分数扣完为止；2、项目经理具备工程类中级及以上专业技术职称得2分，具备初级专业技术职称得1分。 评审依据：磋商文件中提供职称证书复印件并加盖投标人公章。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拟投入本项目人员配置情况表.pdf</w:t>
            </w:r>
          </w:p>
          <w:p>
            <w:pPr>
              <w:pStyle w:val="null3"/>
            </w:pPr>
            <w:r>
              <w:rPr>
                <w:rFonts w:ascii="仿宋_GB2312" w:hAnsi="仿宋_GB2312" w:cs="仿宋_GB2312" w:eastAsia="仿宋_GB2312"/>
              </w:rPr>
              <w:t>项目经理简历表.docx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签订合同时间为准）至今完成的类似项目业绩，每提供一个合格业绩得2.5分，满分5分。未提供此项内容不得分。注：业绩以中标或成交通知书、协议书（合同）完工证明或竣工验收证明或其他合法证明材料，否则不作为加分项。响应文件内附相关资料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以满足招标文件要求且投标价格最低的投标报价为评标基准价，其价格分为满分30分，其他投标单位的价格分按照下列公式计算：投标报价得分=（评标基准价/投标报价） ×30% ×100 。经评标委员会一致认定，投标单位的投标最终总报价低于公认市场成本，或超过采购预算,其响应将被拒绝；（得分计算结果保留小数点后两位，小数点第三位四舍五入）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详见附件：供应商承诺书.pdf</w:t>
      </w:r>
    </w:p>
    <w:p>
      <w:pPr>
        <w:pStyle w:val="null3"/>
        <w:ind w:firstLine="960"/>
      </w:pPr>
      <w:r>
        <w:rPr>
          <w:rFonts w:ascii="仿宋_GB2312" w:hAnsi="仿宋_GB2312" w:cs="仿宋_GB2312" w:eastAsia="仿宋_GB2312"/>
        </w:rPr>
        <w:t>详见附件：供应商应提交的相关资格证明材料(1).pdf</w:t>
      </w:r>
    </w:p>
    <w:p>
      <w:pPr>
        <w:pStyle w:val="null3"/>
        <w:ind w:firstLine="960"/>
      </w:pPr>
      <w:r>
        <w:rPr>
          <w:rFonts w:ascii="仿宋_GB2312" w:hAnsi="仿宋_GB2312" w:cs="仿宋_GB2312" w:eastAsia="仿宋_GB2312"/>
        </w:rPr>
        <w:t>详见附件：供应商认为需要提供的其他内容.pdf</w:t>
      </w:r>
    </w:p>
    <w:p>
      <w:pPr>
        <w:pStyle w:val="null3"/>
        <w:ind w:firstLine="960"/>
      </w:pPr>
      <w:r>
        <w:rPr>
          <w:rFonts w:ascii="仿宋_GB2312" w:hAnsi="仿宋_GB2312" w:cs="仿宋_GB2312" w:eastAsia="仿宋_GB2312"/>
        </w:rPr>
        <w:t>详见附件：项目经理简历表.docx</w:t>
      </w:r>
    </w:p>
    <w:p>
      <w:pPr>
        <w:pStyle w:val="null3"/>
        <w:ind w:firstLine="960"/>
      </w:pPr>
      <w:r>
        <w:rPr>
          <w:rFonts w:ascii="仿宋_GB2312" w:hAnsi="仿宋_GB2312" w:cs="仿宋_GB2312" w:eastAsia="仿宋_GB2312"/>
        </w:rPr>
        <w:t>详见附件：技术响应方案.pdf</w:t>
      </w:r>
    </w:p>
    <w:p>
      <w:pPr>
        <w:pStyle w:val="null3"/>
        <w:ind w:firstLine="960"/>
      </w:pPr>
      <w:r>
        <w:rPr>
          <w:rFonts w:ascii="仿宋_GB2312" w:hAnsi="仿宋_GB2312" w:cs="仿宋_GB2312" w:eastAsia="仿宋_GB2312"/>
        </w:rPr>
        <w:t>详见附件：拟投入本项目人员配置情况表.pdf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