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版本号：政采-镇巴县-2026-0015520260423001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2026年镇巴县简池镇香菇基地建设项目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政采-镇巴县-2026-00155</w:t>
      </w:r>
      <w:r>
        <w:br/>
      </w:r>
      <w:r>
        <w:br/>
      </w:r>
      <w:r>
        <w:br/>
      </w:r>
    </w:p>
    <w:p>
      <w:pPr>
        <w:pStyle w:val="null3"/>
        <w:jc w:val="center"/>
        <w:outlineLvl w:val="2"/>
      </w:pPr>
      <w:r>
        <w:rPr>
          <w:rFonts w:ascii="仿宋_GB2312" w:hAnsi="仿宋_GB2312" w:cs="仿宋_GB2312" w:eastAsia="仿宋_GB2312"/>
          <w:sz w:val="28"/>
          <w:b/>
        </w:rPr>
        <w:t>镇巴县简池镇人民政府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镇巴县简池镇人民政府</w:t>
      </w:r>
      <w:r>
        <w:rPr>
          <w:rFonts w:ascii="仿宋_GB2312" w:hAnsi="仿宋_GB2312" w:cs="仿宋_GB2312" w:eastAsia="仿宋_GB2312"/>
        </w:rPr>
        <w:t>委托，拟对</w:t>
      </w:r>
      <w:r>
        <w:rPr>
          <w:rFonts w:ascii="仿宋_GB2312" w:hAnsi="仿宋_GB2312" w:cs="仿宋_GB2312" w:eastAsia="仿宋_GB2312"/>
        </w:rPr>
        <w:t>2026年镇巴县简池镇香菇基地建设项目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政采-镇巴县-2026-00155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2026年镇巴县简池镇香菇基地建设项目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工程部分：新建钢结构农贸大棚50座，其中6m*20m大棚29座，6m*24m大棚14座，6m*28m大棚7座等。（具体内容详见工程量清单及施工图纸））货物部分：购置香菇生产设施设备一套(详见设备采购清单）。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采购包1（2026年镇巴县简池镇香菇基地建设项目（工程））：属于专门面向中小企业采购。</w:t>
      </w:r>
    </w:p>
    <w:p>
      <w:pPr>
        <w:pStyle w:val="null3"/>
      </w:pPr>
      <w:r>
        <w:rPr>
          <w:rFonts w:ascii="仿宋_GB2312" w:hAnsi="仿宋_GB2312" w:cs="仿宋_GB2312" w:eastAsia="仿宋_GB2312"/>
        </w:rPr>
        <w:t>采购包2（2026年镇巴县简池镇香菇基地建设项目（货物））：属于专门面向中小企业采购。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4、供应商资质要求：供应商须具有建设行政主管部门颁发的建筑工程施工总承包三级及以上资质，具有有效的安全生产许可证，供应商需在项目电子化交易系统中按要求上传相应证明文件并进行电子签章;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5、拟派项目负责人资质与专业要求：拟派项目负责人须具有建筑工程专业注册建造师二级及以上资格和有效的安全生产考核合格B证，在本单位注册且未担任其他在建工程的项目负责人；供应商需在项目电子化交易系统中按要求上传相应证明文件并进行电子签章;</w:t>
      </w:r>
    </w:p>
    <w:p>
      <w:pPr>
        <w:pStyle w:val="null3"/>
      </w:pPr>
      <w:r>
        <w:rPr>
          <w:rFonts w:ascii="仿宋_GB2312" w:hAnsi="仿宋_GB2312" w:cs="仿宋_GB2312" w:eastAsia="仿宋_GB2312"/>
        </w:rPr>
        <w:t>6、非联合体磋商及无关联关系承诺：本项目不接受联合体磋商；单位负责人为同一人或者存在控股、管理关系的不同单位，不得参加同一项目的响应，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磋商及无关联关系承诺：本项目不接受联合体磋商；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镇巴县简池镇人民政府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镇巴县简池镇简池社区中坝小组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镇巴县简池镇人民政府经办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13571690046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采购包1：851,001.25元</w:t>
            </w:r>
          </w:p>
          <w:p>
            <w:pPr>
              <w:pStyle w:val="null3"/>
            </w:pPr>
            <w:r>
              <w:rPr>
                <w:rFonts w:ascii="仿宋_GB2312" w:hAnsi="仿宋_GB2312" w:cs="仿宋_GB2312" w:eastAsia="仿宋_GB2312"/>
              </w:rPr>
              <w:t>采购包2：1,508,998.75元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镇巴县简池镇人民政府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镇巴县简池镇人民政府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镇巴县简池镇人民政府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851,001.25</w:t>
      </w:r>
    </w:p>
    <w:p>
      <w:pPr>
        <w:pStyle w:val="null3"/>
      </w:pPr>
      <w:r>
        <w:rPr>
          <w:rFonts w:ascii="仿宋_GB2312" w:hAnsi="仿宋_GB2312" w:cs="仿宋_GB2312" w:eastAsia="仿宋_GB2312"/>
        </w:rPr>
        <w:t>采购包最高限价（元）: 851,001.25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2026年镇巴县简池镇香菇基地建设项目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851,001.25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1,508,998.75</w:t>
      </w:r>
    </w:p>
    <w:p>
      <w:pPr>
        <w:pStyle w:val="null3"/>
      </w:pPr>
      <w:r>
        <w:rPr>
          <w:rFonts w:ascii="仿宋_GB2312" w:hAnsi="仿宋_GB2312" w:cs="仿宋_GB2312" w:eastAsia="仿宋_GB2312"/>
        </w:rPr>
        <w:t>采购包最高限价（元）: 1,508,998.75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2026年镇巴县简池镇香菇基地建设项目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1,508,998.75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标的名称：2026年镇巴县简池镇香菇基地建设项目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技术要求详见施工图纸及工程量清单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标的名称：2026年镇巴县简池镇香菇基地建设项目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技术参数详见设备采购清单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货物类：中小企业声明函必须按照财政部财〔2020〕46号关于印发《政府采购促进中小企业发展管理办法》执行，“标的名称”逐条按照设备清单填写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建筑工程专业注册建造师二级及以上资格和有效的安全生产考核合格B证，在本单位注册且未担任其他在建工程的项目负责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非联合体磋商及无关联关系承诺</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定代表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非联合体磋商及无关联关系承诺</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1.每轮报价唯一；2.报价货币符合磋商文件要求;3.未超出采购预算或磋商文件规定的最高限价。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响应分项报价表.pdf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1.每轮报价唯一；2.报价货币符合磋商文件要求;3.未超出采购预算或磋商文件规定的最高限价。</w:t>
            </w:r>
          </w:p>
        </w:tc>
        <w:tc>
          <w:tcPr>
            <w:tcW w:type="dxa" w:w="1661"/>
          </w:tcPr>
          <w:p>
            <w:pPr>
              <w:pStyle w:val="null3"/>
            </w:pPr>
            <w:r>
              <w:rPr>
                <w:rFonts w:ascii="仿宋_GB2312" w:hAnsi="仿宋_GB2312" w:cs="仿宋_GB2312" w:eastAsia="仿宋_GB2312"/>
              </w:rPr>
              <w:t>响应分项报价表.pdf 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响应分项报价表.pdf 已标价工程量清单 中小企业声明函 强制优先采购产品承诺函 响应文件封面 技术参数偏离表.pdf 项目管理机构组成表 商务条款偏差表.pdf 政府采购供应商拒绝政府采购领域商业贿赂承诺书.pdf 残疾人福利性单位声明函 报价函 供应商应提交的相关资格证明材料.pdf 标的清单 响应函 主要人员简历表 监狱企业的证明文件 供应商认为需要补充的其他内容.pdf 响应方案说明书.pdf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响应分项报价表.pdf 已标价工程量清单 中小企业声明函 强制优先采购产品承诺函 响应文件封面 技术参数偏离表.pdf 项目管理机构组成表 商务条款偏差表.pdf 政府采购供应商拒绝政府采购领域商业贿赂承诺书.pdf 残疾人福利性单位声明函 报价函 供应商应提交的相关资格证明材料.pdf 标的清单 响应函 主要人员简历表 监狱企业的证明文件 供应商认为需要补充的其他内容.pdf 响应方案说明书.pdf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15分:每缺一项扣3分，每一项内容存在缺陷，扣1 .5分，扣完为止。备注：缺陷是指内容过于简单、不完善、前后表述不一致、套用其他项目方案或与项目需求不匹配、凭空编造、出现常识性错误及其他不利于项目实施等任意一种情形。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配备技术人员、施工员、安全员、资料员、材料员、质量员等)，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内容包括但不限于①提供具体可行并符合国家相关保修规范的售后服务承诺；②提供服务保障措施；③根据本项目实际需求，对降低工程造价提供合理化建议；④根据本项目实际需求，对缩短施工周期提供合理化建议；评审标准：各项内容全面详细 、阐述条理清晰详尽、符合本项目采购需求、能有效保障本项目实施得4分；每缺一项扣1分，每一项内容存在缺陷，扣0 .5分，扣完为止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注：业绩须是供应商完成的建筑工程同类施工业绩，提供中标通知书、协议书（合同）、完工证明或竣工验收证明原件或加盖公章的复印件等其他合法证明材料，否则不作为加分项。其次 , 项目经理业绩不能同时作为企业业绩重复使用，否则不得分。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2、具有3年（含）及以上类似工程施工工作经验得2分（以执业资格证或建造师注册证书发证发证时间为准），3年以下的得1分；评审依据：以申请人加盖公章的执业资格证或建造师注册证书发证时间为准； 3、至少提供2023年1月1日至今类似业绩证明，得2分。 (注：业绩须是供应商项目经理完成的建筑工程同类施工业绩，提供中标通知书、协议书（合同）完工证明或竣工验收证明原件或加盖公章的复印件等其他合法证明材料，否则不得分。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即满足磋商文件要求且磋商价格最低(通过异常低价审查)的报价为评标基准价，其价格分为满分。其他供应商的价格分统一按照下列公式计算:价格分=(评标基准价/磋商报价)x30 。注:本项目专门面向中小企业采购，评审时不再进行价格扣除。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1、带“★”号的技术参数（14项）不允许负偏离。 评审依据：提供相关证明文件。 2、带“▲”号的技术参数（24项）：完全满足招标文件中技术参数要求的得12分，低于招标文件要求的，每一项扣0.5分，扣完为止。 评审依据：提供相关证明文件。 3、一般参数：9分，低于招标文件要求的，每一项扣0.1分，扣完为止。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每提供一个产品的证明文件1分。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1、完整性:方案内容完整全面，对上述各项内容均有描述及说明,得4分；缺1项,得3分；缺2项至3项,得1分。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5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在采购预算内且满足招标文件要求且投标报价最低的投标人的价格为基准价，其价格分为30分。各投标人的价格分统一按照下列公式计算：价格分=（基准价/投标响应报价）*30* 100% 。 注：本项目专门面向中小企业采购，评审时不再进行价格扣除，价格得分以供应商最后报价为计算依据，结果四舍五入保留小数点后两位。供应商不得以低于成本的报价参与磋商，经符合性审查合格的响应文件， 出现下列情形之一的，评审委员会应当启动异常低价审查程序:(1)报价低于全部合格供应商报价平均值的50%； (2)报价低于全部合格供应商次低报价的50%；(3)报价低于本项目最高限价的45%:(4)评审委员会认为可能影响项目质量或履约的其他情形。本项目异常低价审查的具体程序、举证要求及处理标准，严格按照《财政部关于推动解决政府采购异常低价问题的通知》 (财库(2026)2号)执行。</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响应分项报价表.pdf</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详见附件：响应分项报价表.pdf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详见附件：响应方案说明书.pdf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详见附件：合同-工程及设备.docx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