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版本号：LTZB-2026042320260423001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2026年镇巴县兴隆镇茅坪村经济合作社标准化腊肉生产线建设项目（工程）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LTZB-20260423</w:t>
      </w:r>
      <w:r>
        <w:br/>
      </w:r>
      <w:r>
        <w:br/>
      </w:r>
      <w:r>
        <w:br/>
      </w:r>
    </w:p>
    <w:p>
      <w:pPr>
        <w:pStyle w:val="null3"/>
        <w:jc w:val="center"/>
        <w:outlineLvl w:val="2"/>
      </w:pPr>
      <w:r>
        <w:rPr>
          <w:rFonts w:ascii="仿宋_GB2312" w:hAnsi="仿宋_GB2312" w:cs="仿宋_GB2312" w:eastAsia="仿宋_GB2312"/>
          <w:sz w:val="28"/>
          <w:b/>
        </w:rPr>
        <w:t>镇巴县兴隆镇人民政府</w:t>
      </w:r>
    </w:p>
    <w:p>
      <w:pPr>
        <w:pStyle w:val="null3"/>
        <w:jc w:val="center"/>
        <w:outlineLvl w:val="2"/>
      </w:pPr>
      <w:r>
        <w:rPr>
          <w:rFonts w:ascii="仿宋_GB2312" w:hAnsi="仿宋_GB2312" w:cs="仿宋_GB2312" w:eastAsia="仿宋_GB2312"/>
          <w:sz w:val="28"/>
          <w:b/>
        </w:rPr>
        <w:t>兰天项目管理有限公司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兰天项目管理有限公司</w:t>
      </w:r>
      <w:r>
        <w:rPr>
          <w:rFonts w:ascii="仿宋_GB2312" w:hAnsi="仿宋_GB2312" w:cs="仿宋_GB2312" w:eastAsia="仿宋_GB2312"/>
        </w:rPr>
        <w:t>（以下简称“代理机构”）受</w:t>
      </w:r>
      <w:r>
        <w:rPr>
          <w:rFonts w:ascii="仿宋_GB2312" w:hAnsi="仿宋_GB2312" w:cs="仿宋_GB2312" w:eastAsia="仿宋_GB2312"/>
        </w:rPr>
        <w:t>镇巴县兴隆镇人民政府</w:t>
      </w:r>
      <w:r>
        <w:rPr>
          <w:rFonts w:ascii="仿宋_GB2312" w:hAnsi="仿宋_GB2312" w:cs="仿宋_GB2312" w:eastAsia="仿宋_GB2312"/>
        </w:rPr>
        <w:t>委托，拟对</w:t>
      </w:r>
      <w:r>
        <w:rPr>
          <w:rFonts w:ascii="仿宋_GB2312" w:hAnsi="仿宋_GB2312" w:cs="仿宋_GB2312" w:eastAsia="仿宋_GB2312"/>
        </w:rPr>
        <w:t>2026年镇巴县兴隆镇茅坪村经济合作社标准化腊肉生产线建设项目（工程）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LTZB-20260423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2026年镇巴县兴隆镇茅坪村经济合作社标准化腊肉生产线建设项目（工程）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按照SC食品生产认证标准改建厂房450平方米，新建砖混结构食品检测车间30平方米，沉淀池30m³，配套相关附属实施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采购包1（2026年镇巴县兴隆镇茅坪村经济合作社标准化腊肉生产线建设项目（工程））：属于专门面向中小企业采购。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或授权委托书：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p>
      <w:pPr>
        <w:pStyle w:val="null3"/>
      </w:pPr>
      <w:r>
        <w:rPr>
          <w:rFonts w:ascii="仿宋_GB2312" w:hAnsi="仿宋_GB2312" w:cs="仿宋_GB2312" w:eastAsia="仿宋_GB2312"/>
        </w:rPr>
        <w:t>3、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4、拟派项目负责人资质：项目负责人应具备建筑工程专业二级（含二级）及以上注册建造师资格、具有有效的安全考核合格证（B证），且无在建工程（出具无在建承诺书）</w:t>
      </w:r>
    </w:p>
    <w:p>
      <w:pPr>
        <w:pStyle w:val="null3"/>
      </w:pPr>
      <w:r>
        <w:rPr>
          <w:rFonts w:ascii="仿宋_GB2312" w:hAnsi="仿宋_GB2312" w:cs="仿宋_GB2312" w:eastAsia="仿宋_GB2312"/>
        </w:rPr>
        <w:t>5、供应商资质：供应商具有建设行政主管部门核发的建筑工程施工总承包三级以上（含三级）资质，具有有效的安全生产许可证；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镇巴县兴隆镇人民政府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陕西省汉中市镇巴县兴隆镇水田坝社区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镇巴县兴隆镇人民政府经办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18829668868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兰天项目管理有限公司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陕西省西安市碑林区陕西省西安市碑林区红缨路9号豪盛大厦A座10604室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耿女士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15029568581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采购包1：459,466.66元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开户名称：兰天项目管理有限公司汉中分公司</w:t>
            </w:r>
          </w:p>
          <w:p>
            <w:pPr>
              <w:pStyle w:val="null3"/>
            </w:pPr>
            <w:r>
              <w:rPr>
                <w:rFonts w:ascii="仿宋_GB2312" w:hAnsi="仿宋_GB2312" w:cs="仿宋_GB2312" w:eastAsia="仿宋_GB2312"/>
              </w:rPr>
              <w:t>开户银行：中国建设银行股份有限公司汉中分行营业部</w:t>
            </w:r>
          </w:p>
          <w:p>
            <w:pPr>
              <w:pStyle w:val="null3"/>
            </w:pPr>
            <w:r>
              <w:rPr>
                <w:rFonts w:ascii="仿宋_GB2312" w:hAnsi="仿宋_GB2312" w:cs="仿宋_GB2312" w:eastAsia="仿宋_GB2312"/>
              </w:rPr>
              <w:t>银行账号：61050165001500000799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代理服务费收费标准：代理服务费参照《招标代理服务收费管理暂行办法》计价[2002]1980号和《国家发改委办公厅关于招标代理服务收费有关问题的通知》（发改办价格〔2003〕857号）文件服务类标准计算。</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镇巴县兴隆镇人民政府</w:t>
      </w:r>
      <w:r>
        <w:rPr>
          <w:rFonts w:ascii="仿宋_GB2312" w:hAnsi="仿宋_GB2312" w:cs="仿宋_GB2312" w:eastAsia="仿宋_GB2312"/>
        </w:rPr>
        <w:t>和</w:t>
      </w:r>
      <w:r>
        <w:rPr>
          <w:rFonts w:ascii="仿宋_GB2312" w:hAnsi="仿宋_GB2312" w:cs="仿宋_GB2312" w:eastAsia="仿宋_GB2312"/>
        </w:rPr>
        <w:t>兰天项目管理有限公司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镇巴县兴隆镇人民政府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兰天项目管理有限公司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镇巴县兴隆镇人民政府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兰天项目管理有限公司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一、必须达到国家及行业现行技术规范标准，符合国家及行业验收合格标准； 二、交付竣工验收的工程，必须符合规定的工程质量标准，有完整的工程技术经济资料和经签署的工程保修书，并具备国家规定的其他竣工条件。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 三、验收结果合格的，采购人应向成交供应商出具履约验收报告，成交供应商凭验收报告办理相关手续。 四、验收结果不合格的，履约保证金将不予退还，给采购人造成的损失超过履约保证金数额的，还应当对超过部分予以赔偿；没有提交履约保证金的，应当对采购人的损失承担赔偿责任。</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兰天项目管理有限公司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兰天项目管理有限公司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兰天项目管理有限公司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联系人：耿女士</w:t>
      </w:r>
    </w:p>
    <w:p>
      <w:pPr>
        <w:pStyle w:val="null3"/>
      </w:pPr>
      <w:r>
        <w:rPr>
          <w:rFonts w:ascii="仿宋_GB2312" w:hAnsi="仿宋_GB2312" w:cs="仿宋_GB2312" w:eastAsia="仿宋_GB2312"/>
        </w:rPr>
        <w:t>联系电话：15029568581</w:t>
      </w:r>
    </w:p>
    <w:p>
      <w:pPr>
        <w:pStyle w:val="null3"/>
      </w:pPr>
      <w:r>
        <w:rPr>
          <w:rFonts w:ascii="仿宋_GB2312" w:hAnsi="仿宋_GB2312" w:cs="仿宋_GB2312" w:eastAsia="仿宋_GB2312"/>
        </w:rPr>
        <w:t>地址：镇巴县泾洋街道办龙首融景城6号楼门面房202室</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459,466.66</w:t>
      </w:r>
    </w:p>
    <w:p>
      <w:pPr>
        <w:pStyle w:val="null3"/>
      </w:pPr>
      <w:r>
        <w:rPr>
          <w:rFonts w:ascii="仿宋_GB2312" w:hAnsi="仿宋_GB2312" w:cs="仿宋_GB2312" w:eastAsia="仿宋_GB2312"/>
        </w:rPr>
        <w:t>采购包最高限价（元）: 459,466.66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2026年镇巴县兴隆镇茅坪村经济合作社标准化腊肉生产线建设项目（工程）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459,466.66</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标的名称：2026年镇巴县兴隆镇茅坪村经济合作社标准化腊肉生产线建设项目（工程）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rPr>
              <w:t>一.工程</w:t>
            </w:r>
            <w:r>
              <w:rPr>
                <w:rFonts w:ascii="仿宋_GB2312" w:hAnsi="仿宋_GB2312" w:cs="仿宋_GB2312" w:eastAsia="仿宋_GB2312"/>
                <w:sz w:val="28"/>
                <w:b/>
              </w:rPr>
              <w:t>概况：</w:t>
            </w:r>
          </w:p>
          <w:p>
            <w:pPr>
              <w:pStyle w:val="null3"/>
              <w:ind w:firstLine="560"/>
              <w:jc w:val="both"/>
            </w:pPr>
            <w:r>
              <w:rPr>
                <w:rFonts w:ascii="仿宋_GB2312" w:hAnsi="仿宋_GB2312" w:cs="仿宋_GB2312" w:eastAsia="仿宋_GB2312"/>
                <w:sz w:val="28"/>
              </w:rPr>
              <w:t xml:space="preserve">  </w:t>
            </w:r>
            <w:r>
              <w:rPr>
                <w:rFonts w:ascii="仿宋_GB2312" w:hAnsi="仿宋_GB2312" w:cs="仿宋_GB2312" w:eastAsia="仿宋_GB2312"/>
                <w:sz w:val="28"/>
              </w:rPr>
              <w:t>2026年镇巴县兴隆镇茅坪村经济合作社标准化腊肉生产线建设项目(工程)</w:t>
            </w:r>
            <w:r>
              <w:rPr>
                <w:rFonts w:ascii="仿宋_GB2312" w:hAnsi="仿宋_GB2312" w:cs="仿宋_GB2312" w:eastAsia="仿宋_GB2312"/>
                <w:sz w:val="28"/>
              </w:rPr>
              <w:t>。</w:t>
            </w:r>
            <w:r>
              <w:rPr>
                <w:rFonts w:ascii="仿宋_GB2312" w:hAnsi="仿宋_GB2312" w:cs="仿宋_GB2312" w:eastAsia="仿宋_GB2312"/>
                <w:sz w:val="28"/>
              </w:rPr>
              <w:t>工程地点位于镇巴县。</w:t>
            </w:r>
            <w:r>
              <w:rPr>
                <w:rFonts w:ascii="仿宋_GB2312" w:hAnsi="仿宋_GB2312" w:cs="仿宋_GB2312" w:eastAsia="仿宋_GB2312"/>
                <w:sz w:val="28"/>
              </w:rPr>
              <w:t>建设内容为：</w:t>
            </w:r>
            <w:r>
              <w:rPr>
                <w:rFonts w:ascii="仿宋_GB2312" w:hAnsi="仿宋_GB2312" w:cs="仿宋_GB2312" w:eastAsia="仿宋_GB2312"/>
                <w:sz w:val="28"/>
              </w:rPr>
              <w:t>2#车间、成品库改造</w:t>
            </w:r>
            <w:r>
              <w:rPr>
                <w:rFonts w:ascii="仿宋_GB2312" w:hAnsi="仿宋_GB2312" w:cs="仿宋_GB2312" w:eastAsia="仿宋_GB2312"/>
                <w:sz w:val="28"/>
              </w:rPr>
              <w:t>、新修食品检查车间</w:t>
            </w:r>
            <w:r>
              <w:rPr>
                <w:rFonts w:ascii="仿宋_GB2312" w:hAnsi="仿宋_GB2312" w:cs="仿宋_GB2312" w:eastAsia="仿宋_GB2312"/>
                <w:sz w:val="28"/>
              </w:rPr>
              <w:t>30.87m2；</w:t>
            </w:r>
            <w:r>
              <w:rPr>
                <w:rFonts w:ascii="仿宋_GB2312" w:hAnsi="仿宋_GB2312" w:cs="仿宋_GB2312" w:eastAsia="仿宋_GB2312"/>
                <w:sz w:val="28"/>
              </w:rPr>
              <w:t>其中</w:t>
            </w:r>
            <w:r>
              <w:rPr>
                <w:rFonts w:ascii="仿宋_GB2312" w:hAnsi="仿宋_GB2312" w:cs="仿宋_GB2312" w:eastAsia="仿宋_GB2312"/>
                <w:sz w:val="28"/>
              </w:rPr>
              <w:t>2#车间改造面积351.68m2，成品库改造面积100m2</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b/>
              </w:rPr>
              <w:t>二、编制范围：</w:t>
            </w:r>
          </w:p>
          <w:p>
            <w:pPr>
              <w:pStyle w:val="null3"/>
              <w:ind w:firstLine="700"/>
              <w:jc w:val="both"/>
            </w:pPr>
            <w:r>
              <w:rPr>
                <w:rFonts w:ascii="仿宋_GB2312" w:hAnsi="仿宋_GB2312" w:cs="仿宋_GB2312" w:eastAsia="仿宋_GB2312"/>
                <w:sz w:val="28"/>
              </w:rPr>
              <w:t>此次招标范围</w:t>
            </w:r>
            <w:r>
              <w:rPr>
                <w:rFonts w:ascii="仿宋_GB2312" w:hAnsi="仿宋_GB2312" w:cs="仿宋_GB2312" w:eastAsia="仿宋_GB2312"/>
                <w:sz w:val="28"/>
              </w:rPr>
              <w:t>，</w:t>
            </w:r>
            <w:r>
              <w:rPr>
                <w:rFonts w:ascii="仿宋_GB2312" w:hAnsi="仿宋_GB2312" w:cs="仿宋_GB2312" w:eastAsia="仿宋_GB2312"/>
                <w:sz w:val="28"/>
              </w:rPr>
              <w:t>详见工程量清单。</w:t>
            </w:r>
          </w:p>
          <w:p>
            <w:pPr>
              <w:pStyle w:val="null3"/>
              <w:jc w:val="both"/>
            </w:pPr>
            <w:r>
              <w:rPr>
                <w:rFonts w:ascii="仿宋_GB2312" w:hAnsi="仿宋_GB2312" w:cs="仿宋_GB2312" w:eastAsia="仿宋_GB2312"/>
                <w:sz w:val="28"/>
                <w:b/>
              </w:rPr>
              <w:t>三、编制依据：</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2026年镇巴县兴隆镇茅坪村经济合作社标准化腊肉生产线建设项目(工程)</w:t>
            </w:r>
            <w:r>
              <w:rPr>
                <w:rFonts w:ascii="仿宋_GB2312" w:hAnsi="仿宋_GB2312" w:cs="仿宋_GB2312" w:eastAsia="仿宋_GB2312"/>
                <w:sz w:val="28"/>
              </w:rPr>
              <w:t>施工图纸；</w:t>
            </w:r>
          </w:p>
          <w:p>
            <w:pPr>
              <w:pStyle w:val="null3"/>
              <w:ind w:firstLine="560"/>
              <w:jc w:val="both"/>
            </w:pPr>
            <w:r>
              <w:rPr>
                <w:rFonts w:ascii="仿宋_GB2312" w:hAnsi="仿宋_GB2312" w:cs="仿宋_GB2312" w:eastAsia="仿宋_GB2312"/>
                <w:sz w:val="28"/>
              </w:rPr>
              <w:t>2、建设工程文件及相关资料</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3、与建设项目相关的标准、规范等技术资料</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4、《陕西省建设工程工程量清单计价计算标准(2025)》</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5、《陕西省房屋建筑与装饰工程基价表(2025)》</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6</w:t>
            </w:r>
            <w:r>
              <w:rPr>
                <w:rFonts w:ascii="仿宋_GB2312" w:hAnsi="仿宋_GB2312" w:cs="仿宋_GB2312" w:eastAsia="仿宋_GB2312"/>
                <w:sz w:val="28"/>
              </w:rPr>
              <w:t>、《陕西省</w:t>
            </w:r>
            <w:r>
              <w:rPr>
                <w:rFonts w:ascii="仿宋_GB2312" w:hAnsi="仿宋_GB2312" w:cs="仿宋_GB2312" w:eastAsia="仿宋_GB2312"/>
                <w:sz w:val="28"/>
              </w:rPr>
              <w:t>基价表说明</w:t>
            </w:r>
            <w:r>
              <w:rPr>
                <w:rFonts w:ascii="仿宋_GB2312" w:hAnsi="仿宋_GB2312" w:cs="仿宋_GB2312" w:eastAsia="仿宋_GB2312"/>
                <w:sz w:val="28"/>
              </w:rPr>
              <w:t>(2025)》</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7、</w:t>
            </w:r>
            <w:r>
              <w:rPr>
                <w:rFonts w:ascii="仿宋_GB2312" w:hAnsi="仿宋_GB2312" w:cs="仿宋_GB2312" w:eastAsia="仿宋_GB2312"/>
                <w:sz w:val="28"/>
              </w:rPr>
              <w:t>陕建管发〔</w:t>
            </w:r>
            <w:r>
              <w:rPr>
                <w:rFonts w:ascii="仿宋_GB2312" w:hAnsi="仿宋_GB2312" w:cs="仿宋_GB2312" w:eastAsia="仿宋_GB2312"/>
                <w:sz w:val="28"/>
              </w:rPr>
              <w:t>2025〕10号</w:t>
            </w:r>
            <w:r>
              <w:rPr>
                <w:rFonts w:ascii="仿宋_GB2312" w:hAnsi="仿宋_GB2312" w:cs="仿宋_GB2312" w:eastAsia="仿宋_GB2312"/>
                <w:sz w:val="28"/>
              </w:rPr>
              <w:t>，《陕西省住房和城乡建设厅关于印发</w:t>
            </w:r>
            <w:r>
              <w:rPr>
                <w:rFonts w:ascii="仿宋_GB2312" w:hAnsi="仿宋_GB2312" w:cs="仿宋_GB2312" w:eastAsia="仿宋_GB2312"/>
                <w:sz w:val="28"/>
              </w:rPr>
              <w:t>2025 陕西省建设工程费用规则等计价依据的通知》</w:t>
            </w:r>
          </w:p>
          <w:p>
            <w:pPr>
              <w:pStyle w:val="null3"/>
              <w:jc w:val="both"/>
            </w:pPr>
            <w:r>
              <w:rPr>
                <w:rFonts w:ascii="仿宋_GB2312" w:hAnsi="仿宋_GB2312" w:cs="仿宋_GB2312" w:eastAsia="仿宋_GB2312"/>
                <w:sz w:val="28"/>
                <w:b/>
              </w:rPr>
              <w:t>四</w:t>
            </w:r>
            <w:r>
              <w:rPr>
                <w:rFonts w:ascii="仿宋_GB2312" w:hAnsi="仿宋_GB2312" w:cs="仿宋_GB2312" w:eastAsia="仿宋_GB2312"/>
                <w:sz w:val="28"/>
                <w:b/>
              </w:rPr>
              <w:t>、</w:t>
            </w:r>
            <w:r>
              <w:rPr>
                <w:rFonts w:ascii="仿宋_GB2312" w:hAnsi="仿宋_GB2312" w:cs="仿宋_GB2312" w:eastAsia="仿宋_GB2312"/>
                <w:sz w:val="28"/>
                <w:b/>
              </w:rPr>
              <w:t>编制</w:t>
            </w:r>
            <w:r>
              <w:rPr>
                <w:rFonts w:ascii="仿宋_GB2312" w:hAnsi="仿宋_GB2312" w:cs="仿宋_GB2312" w:eastAsia="仿宋_GB2312"/>
                <w:sz w:val="28"/>
                <w:b/>
              </w:rPr>
              <w:t>其它说明</w:t>
            </w:r>
            <w:r>
              <w:rPr>
                <w:rFonts w:ascii="仿宋_GB2312" w:hAnsi="仿宋_GB2312" w:cs="仿宋_GB2312" w:eastAsia="仿宋_GB2312"/>
                <w:sz w:val="28"/>
                <w:b/>
              </w:rPr>
              <w:t>:</w:t>
            </w:r>
          </w:p>
          <w:p>
            <w:pPr>
              <w:pStyle w:val="null3"/>
              <w:ind w:firstLine="560"/>
              <w:jc w:val="both"/>
            </w:pPr>
            <w:r>
              <w:rPr>
                <w:rFonts w:ascii="仿宋_GB2312" w:hAnsi="仿宋_GB2312" w:cs="仿宋_GB2312" w:eastAsia="仿宋_GB2312"/>
                <w:sz w:val="28"/>
              </w:rPr>
              <w:t>1.本工程混凝土按商品混凝土计入</w:t>
            </w:r>
          </w:p>
          <w:p>
            <w:pPr>
              <w:pStyle w:val="null3"/>
              <w:ind w:firstLine="560"/>
              <w:jc w:val="both"/>
            </w:pPr>
            <w:r>
              <w:rPr>
                <w:rFonts w:ascii="仿宋_GB2312" w:hAnsi="仿宋_GB2312" w:cs="仿宋_GB2312" w:eastAsia="仿宋_GB2312"/>
                <w:sz w:val="28"/>
              </w:rPr>
              <w:t>2.本工程砂浆按预拌砂浆计入</w:t>
            </w:r>
          </w:p>
          <w:p>
            <w:pPr>
              <w:pStyle w:val="null3"/>
              <w:ind w:firstLine="560"/>
              <w:jc w:val="both"/>
            </w:pPr>
            <w:r>
              <w:rPr>
                <w:rFonts w:ascii="仿宋_GB2312" w:hAnsi="仿宋_GB2312" w:cs="仿宋_GB2312" w:eastAsia="仿宋_GB2312"/>
                <w:sz w:val="28"/>
              </w:rPr>
              <w:t>3.计算范围：</w:t>
            </w:r>
            <w:r>
              <w:rPr>
                <w:rFonts w:ascii="仿宋_GB2312" w:hAnsi="仿宋_GB2312" w:cs="仿宋_GB2312" w:eastAsia="仿宋_GB2312"/>
                <w:sz w:val="28"/>
              </w:rPr>
              <w:t>2#车间、成品库改造</w:t>
            </w:r>
            <w:r>
              <w:rPr>
                <w:rFonts w:ascii="仿宋_GB2312" w:hAnsi="仿宋_GB2312" w:cs="仿宋_GB2312" w:eastAsia="仿宋_GB2312"/>
                <w:sz w:val="28"/>
              </w:rPr>
              <w:t>、新修食品检查车间</w:t>
            </w:r>
            <w:r>
              <w:rPr>
                <w:rFonts w:ascii="仿宋_GB2312" w:hAnsi="仿宋_GB2312" w:cs="仿宋_GB2312" w:eastAsia="仿宋_GB2312"/>
                <w:sz w:val="28"/>
              </w:rPr>
              <w:t>、新建隔墙、电气、消防弱电、给排水、消火栓等；</w:t>
            </w:r>
          </w:p>
          <w:p>
            <w:pPr>
              <w:pStyle w:val="null3"/>
              <w:ind w:firstLine="560"/>
              <w:jc w:val="both"/>
            </w:pPr>
            <w:r>
              <w:rPr>
                <w:rFonts w:ascii="仿宋_GB2312" w:hAnsi="仿宋_GB2312" w:cs="仿宋_GB2312" w:eastAsia="仿宋_GB2312"/>
                <w:sz w:val="28"/>
              </w:rPr>
              <w:t>4.加工设备，本次预算未计；</w:t>
            </w:r>
          </w:p>
          <w:p>
            <w:pPr>
              <w:pStyle w:val="null3"/>
              <w:ind w:firstLine="560"/>
              <w:jc w:val="both"/>
            </w:pPr>
            <w:r>
              <w:rPr>
                <w:rFonts w:ascii="仿宋_GB2312" w:hAnsi="仿宋_GB2312" w:cs="仿宋_GB2312" w:eastAsia="仿宋_GB2312"/>
                <w:sz w:val="28"/>
              </w:rPr>
              <w:t>5.安装工程均按新建计入，未计拆除；</w:t>
            </w:r>
          </w:p>
          <w:p>
            <w:pPr>
              <w:pStyle w:val="null3"/>
              <w:ind w:firstLine="562"/>
              <w:jc w:val="both"/>
            </w:pPr>
            <w:r>
              <w:rPr>
                <w:rFonts w:ascii="仿宋_GB2312" w:hAnsi="仿宋_GB2312" w:cs="仿宋_GB2312" w:eastAsia="仿宋_GB2312"/>
                <w:sz w:val="28"/>
                <w:b/>
              </w:rPr>
              <w:t>土建及装饰装修部分：</w:t>
            </w:r>
          </w:p>
          <w:p>
            <w:pPr>
              <w:pStyle w:val="null3"/>
              <w:ind w:firstLine="560"/>
              <w:jc w:val="both"/>
            </w:pPr>
            <w:r>
              <w:rPr>
                <w:rFonts w:ascii="仿宋_GB2312" w:hAnsi="仿宋_GB2312" w:cs="仿宋_GB2312" w:eastAsia="仿宋_GB2312"/>
                <w:sz w:val="28"/>
              </w:rPr>
              <w:t>1.运距暂按5km计入；</w:t>
            </w:r>
          </w:p>
          <w:p>
            <w:pPr>
              <w:pStyle w:val="null3"/>
              <w:ind w:firstLine="560"/>
              <w:jc w:val="both"/>
            </w:pPr>
            <w:r>
              <w:rPr>
                <w:rFonts w:ascii="仿宋_GB2312" w:hAnsi="仿宋_GB2312" w:cs="仿宋_GB2312" w:eastAsia="仿宋_GB2312"/>
                <w:sz w:val="28"/>
              </w:rPr>
              <w:t>2.单篦雨水口，暂定综合单价300元/个；</w:t>
            </w:r>
          </w:p>
          <w:p>
            <w:pPr>
              <w:pStyle w:val="null3"/>
              <w:ind w:firstLine="562"/>
              <w:jc w:val="left"/>
            </w:pPr>
            <w:r>
              <w:rPr>
                <w:rFonts w:ascii="仿宋_GB2312" w:hAnsi="仿宋_GB2312" w:cs="仿宋_GB2312" w:eastAsia="仿宋_GB2312"/>
                <w:sz w:val="28"/>
                <w:b/>
              </w:rPr>
              <w:t>安装部分：</w:t>
            </w:r>
          </w:p>
          <w:p>
            <w:pPr>
              <w:pStyle w:val="null3"/>
              <w:ind w:firstLine="560"/>
              <w:jc w:val="both"/>
            </w:pPr>
            <w:r>
              <w:rPr>
                <w:rFonts w:ascii="仿宋_GB2312" w:hAnsi="仿宋_GB2312" w:cs="仿宋_GB2312" w:eastAsia="仿宋_GB2312"/>
                <w:sz w:val="28"/>
              </w:rPr>
              <w:t>1.电气工程，加工设备部分，此次预算未计入；</w:t>
            </w:r>
          </w:p>
          <w:p>
            <w:pPr>
              <w:pStyle w:val="null3"/>
              <w:jc w:val="both"/>
            </w:pPr>
            <w:r>
              <w:rPr>
                <w:rFonts w:ascii="仿宋_GB2312" w:hAnsi="仿宋_GB2312" w:cs="仿宋_GB2312" w:eastAsia="仿宋_GB2312"/>
                <w:sz w:val="28"/>
                <w:b/>
              </w:rPr>
              <w:t>五、</w:t>
            </w:r>
            <w:r>
              <w:rPr>
                <w:rFonts w:ascii="仿宋_GB2312" w:hAnsi="仿宋_GB2312" w:cs="仿宋_GB2312" w:eastAsia="仿宋_GB2312"/>
                <w:sz w:val="28"/>
                <w:b/>
              </w:rPr>
              <w:t>计价软件广联达计价软件</w:t>
            </w:r>
            <w:r>
              <w:rPr>
                <w:rFonts w:ascii="仿宋_GB2312" w:hAnsi="仿宋_GB2312" w:cs="仿宋_GB2312" w:eastAsia="仿宋_GB2312"/>
                <w:sz w:val="28"/>
                <w:b/>
              </w:rPr>
              <w:t>GCCP</w:t>
            </w:r>
            <w:r>
              <w:rPr>
                <w:rFonts w:ascii="仿宋_GB2312" w:hAnsi="仿宋_GB2312" w:cs="仿宋_GB2312" w:eastAsia="仿宋_GB2312"/>
                <w:sz w:val="28"/>
                <w:b/>
              </w:rPr>
              <w:t>7</w:t>
            </w:r>
            <w:r>
              <w:rPr>
                <w:rFonts w:ascii="仿宋_GB2312" w:hAnsi="仿宋_GB2312" w:cs="仿宋_GB2312" w:eastAsia="仿宋_GB2312"/>
                <w:sz w:val="28"/>
                <w:b/>
              </w:rPr>
              <w:t>.0</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工期：60日历天</w:t>
            </w:r>
            <w:r>
              <w:br/>
            </w:r>
            <w:r>
              <w:rPr>
                <w:rFonts w:ascii="仿宋_GB2312" w:hAnsi="仿宋_GB2312" w:cs="仿宋_GB2312" w:eastAsia="仿宋_GB2312"/>
              </w:rPr>
              <w:t xml:space="preserve"> 质量标准：</w:t>
            </w:r>
            <w:r>
              <w:br/>
            </w:r>
            <w:r>
              <w:rPr>
                <w:rFonts w:ascii="仿宋_GB2312" w:hAnsi="仿宋_GB2312" w:cs="仿宋_GB2312" w:eastAsia="仿宋_GB2312"/>
              </w:rPr>
              <w:t xml:space="preserve"> 工程质量达到国家现行《施工质量验收规范》合格标准。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工程质量达到国家现行《施工质量验收规范》合格标准。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工期：60日历天 质量标准： 工程质量达到国家现行《施工质量验收规范》合格标准。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拟派项目负责人资质</w:t>
            </w:r>
          </w:p>
        </w:tc>
        <w:tc>
          <w:tcPr>
            <w:tcW w:type="dxa" w:w="3322"/>
          </w:tcPr>
          <w:p>
            <w:pPr>
              <w:pStyle w:val="null3"/>
            </w:pPr>
            <w:r>
              <w:rPr>
                <w:rFonts w:ascii="仿宋_GB2312" w:hAnsi="仿宋_GB2312" w:cs="仿宋_GB2312" w:eastAsia="仿宋_GB2312"/>
              </w:rPr>
              <w:t>项目负责人应具备建筑工程专业二级（含二级）及以上注册建造师资格、具有有效的安全考核合格证（B证），且无在建工程（出具无在建承诺书）</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供应商具有建设行政主管部门核发的建筑工程施工总承包三级以上（含三级）资质，具有有效的安全生产许可证；</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投标文件有法定代表人或授权委托人的签字或盖章并加盖投标供应商公章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技术部分方案.docx 强制优先采购产品承诺函 响应文件封面 项目管理机构组成表 残疾人福利性单位声明函 报价函 供应商应提交的相关资格证明材料.pdf 标的清单 供应商类似项目业绩一览表 响应函 主要人员简历表 监狱企业的证明文件 供应商认为需要补充的其他内容.pdf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1、报价唯一；2、报价货币符合磋商文件要求;3、未超出采购预算或磋商文件规定的最高限价。</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技术部分方案.docx 强制优先采购产品承诺函 响应文件封面 项目管理机构组成表 残疾人福利性单位声明函 报价函 供应商应提交的相关资格证明材料.pdf 标的清单 供应商类似项目业绩一览表 响应函 主要人员简历表 监狱企业的证明文件 供应商认为需要补充的其他内容.pdf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按照磋商文件要求提交了保证金</w:t>
            </w:r>
          </w:p>
        </w:tc>
        <w:tc>
          <w:tcPr>
            <w:tcW w:type="dxa" w:w="1661"/>
          </w:tcPr>
          <w:p>
            <w:pPr>
              <w:pStyle w:val="null3"/>
            </w:pPr>
            <w:r>
              <w:rPr>
                <w:rFonts w:ascii="仿宋_GB2312" w:hAnsi="仿宋_GB2312" w:cs="仿宋_GB2312" w:eastAsia="仿宋_GB2312"/>
              </w:rPr>
              <w:t>供应商认为需要补充的其他内容.pdf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法律、规章、规范性文件和招标文件规定的其他无效情形。（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技术部分方案.docx 强制优先采购产品承诺函 响应文件封面 项目管理机构组成表 残疾人福利性单位声明函 报价函 供应商应提交的相关资格证明材料.pdf 标的清单 供应商类似项目业绩一览表 响应函 主要人员简历表 监狱企业的证明文件 供应商认为需要补充的其他内容.pdf</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评审内容 供应商针对本项目编制完善的施工部署，内容包含：①施工目标:成本目标、工期目标、质量目标②施工平面布置与安排：现场围挡及出入口管理、交通组织安排、消防安排、施工平面布置图。 一、评审标准 1、完整性：方案必须全面，对评审内容中的各项要求有详细描述； 2、可实施性：切合本项目实际情况，提出步骤清晰、合理的方案； 3、针对性：方案能够紧扣项目实际情况，内容科学合理。 三、赋分标准 ①施工目标：每完全满足一个评审标准得1.5分，满分4.5分； ②施工平面布置与安排：每完全满足一个评审标准得1.5分，满分4.5分；未提供或明显套用其他项目内容的不得分。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供应商编制完善的施工总进度计划，内容包含：①施工进度目标②施工进度保障措施。 二、评审标准 1、完整性：方案须全面，对评审内容中的各项要求有详细描述及说明； 2、可实施性：切合本项目实际情况，实施步骤清晰、合理； 3、针对性：方案能够紧扣项目实际情况，内容科学合理。 三、赋分标准 ①施工进度目标：每完全满足一个评审标准得1分，满分3分； ②施工进度保障措施：每完全满足一个评审标准得1分，满分3分。未提供或明显套用其他项目 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质 量 技 术 措 施</w:t>
            </w:r>
          </w:p>
        </w:tc>
        <w:tc>
          <w:tcPr>
            <w:tcW w:type="dxa" w:w="2492"/>
          </w:tcPr>
          <w:p>
            <w:pPr>
              <w:pStyle w:val="null3"/>
            </w:pPr>
            <w:r>
              <w:rPr>
                <w:rFonts w:ascii="仿宋_GB2312" w:hAnsi="仿宋_GB2312" w:cs="仿宋_GB2312" w:eastAsia="仿宋_GB2312"/>
              </w:rPr>
              <w:t>一、评审内容 供应商编制完善的质量技术措施，内容包含：①质量管理目标②施工质量保障措施③施工质量检验制度。 二、评审标准 1、完整性：方案须全面，对评审内容中的各项要求有详细描述及说明； 2、可实施性：切合本项目实际情况，实施步骤清晰、合理；3、针对性：方案能够紧扣项目实际情况，内容科学合理。 三、赋分标准 ①质量管理目标：每完全满足一个评审标准得1分，满分3分； ②施工质量保障措施：每完全满足一个评审标准得1分，满分3分； ③施工质量检验制度：每完全满足一个评审标准得1分，满分3分。未提供或明显套用其他项目 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安 全 技 术 措 施</w:t>
            </w:r>
          </w:p>
        </w:tc>
        <w:tc>
          <w:tcPr>
            <w:tcW w:type="dxa" w:w="2492"/>
          </w:tcPr>
          <w:p>
            <w:pPr>
              <w:pStyle w:val="null3"/>
            </w:pPr>
            <w:r>
              <w:rPr>
                <w:rFonts w:ascii="仿宋_GB2312" w:hAnsi="仿宋_GB2312" w:cs="仿宋_GB2312" w:eastAsia="仿宋_GB2312"/>
              </w:rPr>
              <w:t>一、评审内容 供应商编制完善的安全技术措施，内容包含：①安全管理制度②安全责任归属划分③安全标识：安全警戒标语、施工人员安全警示服和安全帽穿配要求④安全教育培训。 二、评审标准 1、完整性：方案须全面，对评审内容中的各项要求有详细描述及说明； 2、可实施性：切合本项目实际情况，实施步骤清晰、合理； 3、针对性：方案能够紧扣项目实际情况，内容科学合理。 三、赋分标准 ①安全管理制度：每完全满足一个评审标准得1分，满分3分； ②安全责任归属划分：每完全满足一个评审标准得1分，满3分； ③安全标识：每完全满足一个评审标准得1分，满分3分； ④安全教育培训：每完全满足一个评审标准得1分，满分3分。未提供或明显套用其他项目 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文 明 施 工 措 施</w:t>
            </w:r>
          </w:p>
        </w:tc>
        <w:tc>
          <w:tcPr>
            <w:tcW w:type="dxa" w:w="2492"/>
          </w:tcPr>
          <w:p>
            <w:pPr>
              <w:pStyle w:val="null3"/>
            </w:pPr>
            <w:r>
              <w:rPr>
                <w:rFonts w:ascii="仿宋_GB2312" w:hAnsi="仿宋_GB2312" w:cs="仿宋_GB2312" w:eastAsia="仿宋_GB2312"/>
              </w:rPr>
              <w:t>一、评审内容 供应商编制完善的文明施工措施，内容包含：①材料、半成品和机具的堆放管理②文明施工检查措施。 二、评审标准 1、完整性：方案须全面，对评审内容中的各项要求有详细描述及说明； 2、可实施性：切合本项目实际情况，实施步骤清晰、合理； 3、针对性：方案能够紧扣项目实际情况，内容科学合理。 三、赋分标准 ①材料、半成品和机具的堆放管理：每完全满足一个评审标准得1分，满分3分； ②文明施工检查措施：每完全满足一个评审标准得1分，满分3分。未提供或明显套用其他项目 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环 境 保 护 措 施</w:t>
            </w:r>
          </w:p>
        </w:tc>
        <w:tc>
          <w:tcPr>
            <w:tcW w:type="dxa" w:w="2492"/>
          </w:tcPr>
          <w:p>
            <w:pPr>
              <w:pStyle w:val="null3"/>
            </w:pPr>
            <w:r>
              <w:rPr>
                <w:rFonts w:ascii="仿宋_GB2312" w:hAnsi="仿宋_GB2312" w:cs="仿宋_GB2312" w:eastAsia="仿宋_GB2312"/>
              </w:rPr>
              <w:t>一、评审内容 供应商编制完善的环境保护措施，内容包含：①噪音控制措施②防尘及扬尘的控制措施。 二、评审标准 1、完整性：方案须全面，对评审内容中的各项要求有详细描述及说明； 2、可实施性：切合本项目实际情况，实施步骤清晰、合理； 3、针对性：方案能够紧扣项目实际情况，内容科学合理。 三、赋分标准 ①噪音控制措施：每完全满足一个评审标准1分，满分3分； ②防尘及扬尘的控制措施：每完全满足一个评审标准得1分，满分3分。未提供或明显套用其他项目 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主 要 管 理 措 施</w:t>
            </w:r>
          </w:p>
        </w:tc>
        <w:tc>
          <w:tcPr>
            <w:tcW w:type="dxa" w:w="2492"/>
          </w:tcPr>
          <w:p>
            <w:pPr>
              <w:pStyle w:val="null3"/>
            </w:pPr>
            <w:r>
              <w:rPr>
                <w:rFonts w:ascii="仿宋_GB2312" w:hAnsi="仿宋_GB2312" w:cs="仿宋_GB2312" w:eastAsia="仿宋_GB2312"/>
              </w:rPr>
              <w:t>一、评审内容 供应商针对本项目编制主要管理措施，内容包含：①分部分项工程施工方法②成品保护措施 二、评审标准 1、完整性：方案须全面，对评审内容中的各项要求有详细描述及说明； 2、可实施性：切合本项目实际情况，实施步骤清晰、合理； 3、针对性：方案能够紧扣项目实际情况，内容科学合理。 三、赋分标准 ①分部分项工程施工方法：每完全满足一个评审标准得2分，满分6分； ②成品保护措施：每完全满足一个评审标准得2分，满分6分；未提供或明显套用其他项目 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项目部人员组成</w:t>
            </w:r>
          </w:p>
        </w:tc>
        <w:tc>
          <w:tcPr>
            <w:tcW w:type="dxa" w:w="2492"/>
          </w:tcPr>
          <w:p>
            <w:pPr>
              <w:pStyle w:val="null3"/>
            </w:pPr>
            <w:r>
              <w:rPr>
                <w:rFonts w:ascii="仿宋_GB2312" w:hAnsi="仿宋_GB2312" w:cs="仿宋_GB2312" w:eastAsia="仿宋_GB2312"/>
              </w:rPr>
              <w:t>有详细的人员职责划分、人员管理方案。由评标专家对供应商响应内容进行对比，根据优良程度打分：（优秀得3分，良好得2分，一般得1分） 项目负责人具有相关专业高级工程师职称得2分，中级职称得1分，没有职称不得分。 注：班子人员需提供相关证书、身份证及本单位社保缴费证 明（近六个月内任意3个月），未提供不得分。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供应商应提交的相关资格证明材料.pdf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供应商提供自2022年1月至今类似项目业绩，响应文件中应附有其业绩证明材料，业绩以协议书（合同）或（中标）成交通知书加盖公章的复印件为依据，每提供一个得2.5分，满分5分。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本项目以满足竞争性磋商文件要求的有效供应商最低投标价格为评标基准价。其他投标供应商的价格分统一按照下列公式计算：投标报价得分=(评标基准价／投标报价)×价格权值（30%）×100（四舍五入后保留小数点后两位）。注:价格得分以供应商最后报价为计算依据，结果四舍五入保留小数点后两位。供应商不得以低于成本的报价参与磋商，经符合性审查合格的响应文件， 出现下列情形之一的，评审委员会应当启动异常低价审查程序:(1)报价低于全部合格供应商报价平均值的50%； (2)报价低于全部合格供应商次低报价的50%；（3)报价低于本项目最高限价的45%:(4)评审委员会认为可能影响项目质量或履约的其他情形。本项目异常低价审查的具体程序、举证要求及处理标准，严格按照《财政部关于推动解决政府采购异常低价问题的通知》 (财库(2026)2号)执行。本项目专门面向中小企业采购，评审时不再进行价格扣除。</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详见附件：供应商认为需要补充的其他内容.pdf</w:t>
      </w:r>
    </w:p>
    <w:p>
      <w:pPr>
        <w:pStyle w:val="null3"/>
        <w:ind w:firstLine="960"/>
      </w:pPr>
      <w:r>
        <w:rPr>
          <w:rFonts w:ascii="仿宋_GB2312" w:hAnsi="仿宋_GB2312" w:cs="仿宋_GB2312" w:eastAsia="仿宋_GB2312"/>
        </w:rPr>
        <w:t>详见附件：技术部分方案.docx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