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版本号：SXJHZB-2026-0428-00120260428001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2026镇巴县巴庙镇巴庙社区集体经济合作社肉牛养殖场产能提升项目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SXJHZB-2026-0428-001</w:t>
      </w:r>
      <w:r>
        <w:br/>
      </w:r>
      <w:r>
        <w:br/>
      </w:r>
      <w:r>
        <w:br/>
      </w:r>
    </w:p>
    <w:p>
      <w:pPr>
        <w:pStyle w:val="null3"/>
        <w:jc w:val="center"/>
        <w:outlineLvl w:val="2"/>
      </w:pPr>
      <w:r>
        <w:rPr>
          <w:rFonts w:ascii="仿宋_GB2312" w:hAnsi="仿宋_GB2312" w:cs="仿宋_GB2312" w:eastAsia="仿宋_GB2312"/>
          <w:sz w:val="28"/>
          <w:b/>
        </w:rPr>
        <w:t>镇巴县巴庙镇人民政府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镇巴县巴庙镇人民政府</w:t>
      </w:r>
      <w:r>
        <w:rPr>
          <w:rFonts w:ascii="仿宋_GB2312" w:hAnsi="仿宋_GB2312" w:cs="仿宋_GB2312" w:eastAsia="仿宋_GB2312"/>
        </w:rPr>
        <w:t>委托，拟对</w:t>
      </w:r>
      <w:r>
        <w:rPr>
          <w:rFonts w:ascii="仿宋_GB2312" w:hAnsi="仿宋_GB2312" w:cs="仿宋_GB2312" w:eastAsia="仿宋_GB2312"/>
        </w:rPr>
        <w:t>2026镇巴县巴庙镇巴庙社区集体经济合作社肉牛养殖场产能提升项目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SXJHZB-2026-0428-001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2026镇巴县巴庙镇巴庙社区集体经济合作社肉牛养殖场产能提升项目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镇巴县巴庙镇巴庙社区集体经济合作社肉牛养殖场产能提升项目，本工程位于镇巴县巴庙镇，工程主要内容为：新建钢结构加工车间，该建筑地上一层，建筑面积628.56平方米，檐高4.8米，基础采用钢筋砼独立基础，外墙±1.2米以下为砖砌墙体，以上为压型钢板墙，屋面为压型钢板屋面，以及配套的电气照明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采购包1（2026镇巴县巴庙镇巴庙社区集体经济合作社肉牛养殖场产能提升项目）：属于专门面向中小企业采购。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3、供应商资质：供应商具有行政主管部门核发的建筑工程施工总承包三级（含三级）及以上资质，且具有有效的安全生产许可证，供应商需在项目电子化交易系统中按要求上传相应证明文件并进行电子签章；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4、项目负责人：拟派项目经理须具备建筑工程专业二级（含二级）以上注册建造师资格和安全生产考核合格B证，且无在建项目，供应商需在项目电子化交易系统中按要求上传相应证明文件并进行电子签章；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单位，不得同时参加本项目投标，供应商需在项目电子化交易系统中按要求上传相应证明文件并进行电子签章；</w:t>
      </w:r>
    </w:p>
    <w:p>
      <w:pPr>
        <w:pStyle w:val="null3"/>
      </w:pPr>
      <w:r>
        <w:rPr>
          <w:rFonts w:ascii="仿宋_GB2312" w:hAnsi="仿宋_GB2312" w:cs="仿宋_GB2312" w:eastAsia="仿宋_GB2312"/>
        </w:rPr>
        <w:t>7、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镇巴县巴庙镇人民政府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镇巴县巴庙镇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镇巴县巴庙镇人民政府经办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15332506068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15332537763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采购包1：636,526.79元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2、采购代理服务费的缴纳方式:在领取《成交通知书》前向采购代理机均一次性全额缴纳采购代理服务费。3、代理服务费的具体金额后续见本项目中标（成交）结果公告。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镇巴县巴庙镇人民政府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镇巴县巴庙镇人民政府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镇巴县巴庙镇人民政府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本项目履约验收严格按照国家法律法规、行业规范、相关技术标准及合同约定要求开展验收工作，验收内容完整、程序规范、结果客观公正，项目合格后方予以验收通过。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联系人：钟工</w:t>
      </w:r>
    </w:p>
    <w:p>
      <w:pPr>
        <w:pStyle w:val="null3"/>
      </w:pPr>
      <w:r>
        <w:rPr>
          <w:rFonts w:ascii="仿宋_GB2312" w:hAnsi="仿宋_GB2312" w:cs="仿宋_GB2312" w:eastAsia="仿宋_GB2312"/>
        </w:rPr>
        <w:t>联系电话：15332537763</w:t>
      </w:r>
    </w:p>
    <w:p>
      <w:pPr>
        <w:pStyle w:val="null3"/>
      </w:pPr>
      <w:r>
        <w:rPr>
          <w:rFonts w:ascii="仿宋_GB2312" w:hAnsi="仿宋_GB2312" w:cs="仿宋_GB2312" w:eastAsia="仿宋_GB2312"/>
        </w:rPr>
        <w:t>地址：陕西省汉中市镇巴县河西路粮食局五楼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636,526.79</w:t>
      </w:r>
    </w:p>
    <w:p>
      <w:pPr>
        <w:pStyle w:val="null3"/>
      </w:pPr>
      <w:r>
        <w:rPr>
          <w:rFonts w:ascii="仿宋_GB2312" w:hAnsi="仿宋_GB2312" w:cs="仿宋_GB2312" w:eastAsia="仿宋_GB2312"/>
        </w:rPr>
        <w:t>采购包最高限价（元）: 636,521.86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2026镇巴县巴庙镇巴庙社区集体经济合作社肉牛养殖场产能提升项目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636,526.79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标的名称：2026镇巴县巴庙镇巴庙社区集体经济合作社肉牛养殖场产能提升项目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pPr>
            <w:r>
              <w:rPr>
                <w:rFonts w:ascii="仿宋_GB2312" w:hAnsi="仿宋_GB2312" w:cs="仿宋_GB2312" w:eastAsia="仿宋_GB2312"/>
                <w:sz w:val="28"/>
                <w:b/>
              </w:rPr>
              <w:t>一、工程概况</w:t>
            </w:r>
          </w:p>
          <w:p>
            <w:pPr>
              <w:pStyle w:val="null3"/>
              <w:spacing w:after="195"/>
              <w:ind w:firstLine="560"/>
            </w:pPr>
            <w:r>
              <w:rPr>
                <w:rFonts w:ascii="仿宋_GB2312" w:hAnsi="仿宋_GB2312" w:cs="仿宋_GB2312" w:eastAsia="仿宋_GB2312"/>
                <w:sz w:val="28"/>
              </w:rPr>
              <w:t>2026镇巴县巴庙镇巴庙社区集体经济合作社肉牛养殖场产能提升项目，本工程位于镇巴县巴庙镇，工程主要内容为：新建钢结构加工车间，该建筑地上一层，建筑面积628.56平方米，檐高4.8米，基础采用钢筋砼独立基础，外墙±1.2米以下为砖砌墙体，以上为压型钢板墙，屋面为压型钢板屋面，以及配套的电气照明工程。</w:t>
            </w:r>
          </w:p>
          <w:p>
            <w:pPr>
              <w:pStyle w:val="null3"/>
              <w:spacing w:after="195"/>
            </w:pPr>
            <w:r>
              <w:rPr>
                <w:rFonts w:ascii="仿宋_GB2312" w:hAnsi="仿宋_GB2312" w:cs="仿宋_GB2312" w:eastAsia="仿宋_GB2312"/>
                <w:sz w:val="28"/>
                <w:b/>
              </w:rPr>
              <w:t>二、编制依据</w:t>
            </w:r>
          </w:p>
          <w:p>
            <w:pPr>
              <w:pStyle w:val="null3"/>
              <w:spacing w:after="195"/>
              <w:ind w:firstLine="560"/>
            </w:pPr>
            <w:r>
              <w:rPr>
                <w:rFonts w:ascii="仿宋_GB2312" w:hAnsi="仿宋_GB2312" w:cs="仿宋_GB2312" w:eastAsia="仿宋_GB2312"/>
                <w:sz w:val="28"/>
              </w:rPr>
              <w:t>1、</w:t>
            </w:r>
            <w:r>
              <w:rPr>
                <w:rFonts w:ascii="仿宋_GB2312" w:hAnsi="仿宋_GB2312" w:cs="仿宋_GB2312" w:eastAsia="仿宋_GB2312"/>
                <w:sz w:val="28"/>
              </w:rPr>
              <w:t>由</w:t>
            </w:r>
            <w:r>
              <w:rPr>
                <w:rFonts w:ascii="仿宋_GB2312" w:hAnsi="仿宋_GB2312" w:cs="仿宋_GB2312" w:eastAsia="仿宋_GB2312"/>
                <w:sz w:val="28"/>
              </w:rPr>
              <w:t>贵单位提供的</w:t>
            </w:r>
            <w:r>
              <w:rPr>
                <w:rFonts w:ascii="仿宋_GB2312" w:hAnsi="仿宋_GB2312" w:cs="仿宋_GB2312" w:eastAsia="仿宋_GB2312"/>
                <w:sz w:val="28"/>
              </w:rPr>
              <w:t>2026镇巴县巴庙镇巴庙社区集体经济合作社肉牛养殖场产能提升项目</w:t>
            </w:r>
            <w:r>
              <w:rPr>
                <w:rFonts w:ascii="仿宋_GB2312" w:hAnsi="仿宋_GB2312" w:cs="仿宋_GB2312" w:eastAsia="仿宋_GB2312"/>
                <w:sz w:val="28"/>
              </w:rPr>
              <w:t>施工图</w:t>
            </w:r>
            <w:r>
              <w:rPr>
                <w:rFonts w:ascii="仿宋_GB2312" w:hAnsi="仿宋_GB2312" w:cs="仿宋_GB2312" w:eastAsia="仿宋_GB2312"/>
                <w:sz w:val="28"/>
              </w:rPr>
              <w:t>及相关要求</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2、《陕西省建设工程费用规则(2025)》</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3、</w:t>
            </w:r>
            <w:r>
              <w:rPr>
                <w:rFonts w:ascii="仿宋_GB2312" w:hAnsi="仿宋_GB2312" w:cs="仿宋_GB2312" w:eastAsia="仿宋_GB2312"/>
                <w:sz w:val="28"/>
              </w:rPr>
              <w:t>《陕西省基价表</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以下专业：</w:t>
            </w:r>
            <w:r>
              <w:rPr>
                <w:rFonts w:ascii="仿宋_GB2312" w:hAnsi="仿宋_GB2312" w:cs="仿宋_GB2312" w:eastAsia="仿宋_GB2312"/>
                <w:sz w:val="28"/>
              </w:rPr>
              <w:t>房屋建筑与装饰</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通用</w:t>
            </w:r>
            <w:r>
              <w:rPr>
                <w:rFonts w:ascii="仿宋_GB2312" w:hAnsi="仿宋_GB2312" w:cs="仿宋_GB2312" w:eastAsia="仿宋_GB2312"/>
                <w:sz w:val="28"/>
              </w:rPr>
              <w:t>安装</w:t>
            </w:r>
            <w:r>
              <w:rPr>
                <w:rFonts w:ascii="仿宋_GB2312" w:hAnsi="仿宋_GB2312" w:cs="仿宋_GB2312" w:eastAsia="仿宋_GB2312"/>
                <w:sz w:val="28"/>
              </w:rPr>
              <w:t>工程</w:t>
            </w:r>
            <w:r>
              <w:rPr>
                <w:rFonts w:ascii="仿宋_GB2312" w:hAnsi="仿宋_GB2312" w:cs="仿宋_GB2312" w:eastAsia="仿宋_GB2312"/>
                <w:sz w:val="28"/>
              </w:rPr>
              <w:t>、市政</w:t>
            </w:r>
            <w:r>
              <w:rPr>
                <w:rFonts w:ascii="仿宋_GB2312" w:hAnsi="仿宋_GB2312" w:cs="仿宋_GB2312" w:eastAsia="仿宋_GB2312"/>
                <w:sz w:val="28"/>
              </w:rPr>
              <w:t>工程</w:t>
            </w:r>
            <w:r>
              <w:rPr>
                <w:rFonts w:ascii="仿宋_GB2312" w:hAnsi="仿宋_GB2312" w:cs="仿宋_GB2312" w:eastAsia="仿宋_GB2312"/>
                <w:sz w:val="28"/>
              </w:rPr>
              <w:t>、园林绿化</w:t>
            </w:r>
            <w:r>
              <w:rPr>
                <w:rFonts w:ascii="仿宋_GB2312" w:hAnsi="仿宋_GB2312" w:cs="仿宋_GB2312" w:eastAsia="仿宋_GB2312"/>
                <w:sz w:val="28"/>
              </w:rPr>
              <w:t>工程</w:t>
            </w:r>
            <w:r>
              <w:rPr>
                <w:rFonts w:ascii="仿宋_GB2312" w:hAnsi="仿宋_GB2312" w:cs="仿宋_GB2312" w:eastAsia="仿宋_GB2312"/>
                <w:sz w:val="28"/>
              </w:rPr>
              <w:t>、城市地下综合管廊</w:t>
            </w:r>
            <w:r>
              <w:rPr>
                <w:rFonts w:ascii="仿宋_GB2312" w:hAnsi="仿宋_GB2312" w:cs="仿宋_GB2312" w:eastAsia="仿宋_GB2312"/>
                <w:sz w:val="28"/>
              </w:rPr>
              <w:t>工程</w:t>
            </w:r>
            <w:r>
              <w:rPr>
                <w:rFonts w:ascii="仿宋_GB2312" w:hAnsi="仿宋_GB2312" w:cs="仿宋_GB2312" w:eastAsia="仿宋_GB2312"/>
                <w:sz w:val="28"/>
              </w:rPr>
              <w:t>、绿色建筑</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4</w:t>
            </w:r>
            <w:r>
              <w:rPr>
                <w:rFonts w:ascii="仿宋_GB2312" w:hAnsi="仿宋_GB2312" w:cs="仿宋_GB2312" w:eastAsia="仿宋_GB2312"/>
                <w:sz w:val="28"/>
              </w:rPr>
              <w:t>、《陕西省消耗量定额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以下专业：</w:t>
            </w:r>
            <w:r>
              <w:rPr>
                <w:rFonts w:ascii="仿宋_GB2312" w:hAnsi="仿宋_GB2312" w:cs="仿宋_GB2312" w:eastAsia="仿宋_GB2312"/>
                <w:sz w:val="28"/>
              </w:rPr>
              <w:t>房屋建筑与装饰</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通用</w:t>
            </w:r>
            <w:r>
              <w:rPr>
                <w:rFonts w:ascii="仿宋_GB2312" w:hAnsi="仿宋_GB2312" w:cs="仿宋_GB2312" w:eastAsia="仿宋_GB2312"/>
                <w:sz w:val="28"/>
              </w:rPr>
              <w:t>安装</w:t>
            </w:r>
            <w:r>
              <w:rPr>
                <w:rFonts w:ascii="仿宋_GB2312" w:hAnsi="仿宋_GB2312" w:cs="仿宋_GB2312" w:eastAsia="仿宋_GB2312"/>
                <w:sz w:val="28"/>
              </w:rPr>
              <w:t>工程</w:t>
            </w:r>
            <w:r>
              <w:rPr>
                <w:rFonts w:ascii="仿宋_GB2312" w:hAnsi="仿宋_GB2312" w:cs="仿宋_GB2312" w:eastAsia="仿宋_GB2312"/>
                <w:sz w:val="28"/>
              </w:rPr>
              <w:t>、市政</w:t>
            </w:r>
            <w:r>
              <w:rPr>
                <w:rFonts w:ascii="仿宋_GB2312" w:hAnsi="仿宋_GB2312" w:cs="仿宋_GB2312" w:eastAsia="仿宋_GB2312"/>
                <w:sz w:val="28"/>
              </w:rPr>
              <w:t>工程</w:t>
            </w:r>
            <w:r>
              <w:rPr>
                <w:rFonts w:ascii="仿宋_GB2312" w:hAnsi="仿宋_GB2312" w:cs="仿宋_GB2312" w:eastAsia="仿宋_GB2312"/>
                <w:sz w:val="28"/>
              </w:rPr>
              <w:t>、园林绿化</w:t>
            </w:r>
            <w:r>
              <w:rPr>
                <w:rFonts w:ascii="仿宋_GB2312" w:hAnsi="仿宋_GB2312" w:cs="仿宋_GB2312" w:eastAsia="仿宋_GB2312"/>
                <w:sz w:val="28"/>
              </w:rPr>
              <w:t>工程</w:t>
            </w:r>
            <w:r>
              <w:rPr>
                <w:rFonts w:ascii="仿宋_GB2312" w:hAnsi="仿宋_GB2312" w:cs="仿宋_GB2312" w:eastAsia="仿宋_GB2312"/>
                <w:sz w:val="28"/>
              </w:rPr>
              <w:t>、城市地下综合管廊</w:t>
            </w:r>
            <w:r>
              <w:rPr>
                <w:rFonts w:ascii="仿宋_GB2312" w:hAnsi="仿宋_GB2312" w:cs="仿宋_GB2312" w:eastAsia="仿宋_GB2312"/>
                <w:sz w:val="28"/>
              </w:rPr>
              <w:t>工程</w:t>
            </w:r>
            <w:r>
              <w:rPr>
                <w:rFonts w:ascii="仿宋_GB2312" w:hAnsi="仿宋_GB2312" w:cs="仿宋_GB2312" w:eastAsia="仿宋_GB2312"/>
                <w:sz w:val="28"/>
              </w:rPr>
              <w:t>、绿色建筑</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5、</w:t>
            </w:r>
            <w:r>
              <w:rPr>
                <w:rFonts w:ascii="仿宋_GB2312" w:hAnsi="仿宋_GB2312" w:cs="仿宋_GB2312" w:eastAsia="仿宋_GB2312"/>
                <w:sz w:val="28"/>
              </w:rPr>
              <w:t>《陕西省建设工程施工机械台班费用定额</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陕西省建设工程施工仪器仪表台班费用定额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7</w:t>
            </w:r>
            <w:r>
              <w:rPr>
                <w:rFonts w:ascii="仿宋_GB2312" w:hAnsi="仿宋_GB2312" w:cs="仿宋_GB2312" w:eastAsia="仿宋_GB2312"/>
                <w:sz w:val="28"/>
              </w:rPr>
              <w:t>、材料价格按</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年第</w:t>
            </w:r>
            <w:r>
              <w:rPr>
                <w:rFonts w:ascii="仿宋_GB2312" w:hAnsi="仿宋_GB2312" w:cs="仿宋_GB2312" w:eastAsia="仿宋_GB2312"/>
                <w:sz w:val="28"/>
              </w:rPr>
              <w:t>2</w:t>
            </w:r>
            <w:r>
              <w:rPr>
                <w:rFonts w:ascii="仿宋_GB2312" w:hAnsi="仿宋_GB2312" w:cs="仿宋_GB2312" w:eastAsia="仿宋_GB2312"/>
                <w:sz w:val="28"/>
              </w:rPr>
              <w:t>期《汉中市建设工程造价信息》计入</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8</w:t>
            </w:r>
            <w:r>
              <w:rPr>
                <w:rFonts w:ascii="仿宋_GB2312" w:hAnsi="仿宋_GB2312" w:cs="仿宋_GB2312" w:eastAsia="仿宋_GB2312"/>
                <w:sz w:val="28"/>
              </w:rPr>
              <w:t>、运用广联达云计价平台</w:t>
            </w:r>
            <w:r>
              <w:rPr>
                <w:rFonts w:ascii="仿宋_GB2312" w:hAnsi="仿宋_GB2312" w:cs="仿宋_GB2312" w:eastAsia="仿宋_GB2312"/>
                <w:sz w:val="28"/>
              </w:rPr>
              <w:t xml:space="preserve">GCCP </w:t>
            </w:r>
            <w:r>
              <w:rPr>
                <w:rFonts w:ascii="仿宋_GB2312" w:hAnsi="仿宋_GB2312" w:cs="仿宋_GB2312" w:eastAsia="仿宋_GB2312"/>
                <w:sz w:val="28"/>
              </w:rPr>
              <w:t>7</w:t>
            </w:r>
            <w:r>
              <w:rPr>
                <w:rFonts w:ascii="仿宋_GB2312" w:hAnsi="仿宋_GB2312" w:cs="仿宋_GB2312" w:eastAsia="仿宋_GB2312"/>
                <w:sz w:val="28"/>
              </w:rPr>
              <w:t xml:space="preserve">.0 </w:t>
            </w:r>
            <w:r>
              <w:rPr>
                <w:rFonts w:ascii="仿宋_GB2312" w:hAnsi="仿宋_GB2312" w:cs="仿宋_GB2312" w:eastAsia="仿宋_GB2312"/>
                <w:sz w:val="28"/>
              </w:rPr>
              <w:t>计价；</w:t>
            </w:r>
          </w:p>
          <w:p>
            <w:pPr>
              <w:pStyle w:val="null3"/>
              <w:spacing w:after="195"/>
            </w:pPr>
            <w:r>
              <w:rPr>
                <w:rFonts w:ascii="仿宋_GB2312" w:hAnsi="仿宋_GB2312" w:cs="仿宋_GB2312" w:eastAsia="仿宋_GB2312"/>
                <w:sz w:val="28"/>
                <w:b/>
              </w:rPr>
              <w:t>三、相关说明</w:t>
            </w:r>
          </w:p>
          <w:p>
            <w:pPr>
              <w:pStyle w:val="null3"/>
              <w:spacing w:after="195"/>
              <w:ind w:firstLine="560"/>
            </w:pPr>
            <w:r>
              <w:rPr>
                <w:rFonts w:ascii="仿宋_GB2312" w:hAnsi="仿宋_GB2312" w:cs="仿宋_GB2312" w:eastAsia="仿宋_GB2312"/>
                <w:sz w:val="28"/>
              </w:rPr>
              <w:t>1、建筑垃圾外运暂按1km计入；</w:t>
            </w:r>
          </w:p>
          <w:p>
            <w:pPr>
              <w:pStyle w:val="null3"/>
              <w:spacing w:after="195"/>
            </w:pPr>
            <w:r>
              <w:rPr>
                <w:rFonts w:ascii="仿宋_GB2312" w:hAnsi="仿宋_GB2312" w:cs="仿宋_GB2312" w:eastAsia="仿宋_GB2312"/>
                <w:sz w:val="28"/>
                <w:b/>
              </w:rPr>
              <w:t>四、造价汇总</w:t>
            </w:r>
          </w:p>
          <w:p>
            <w:pPr>
              <w:pStyle w:val="null3"/>
              <w:spacing w:after="195"/>
              <w:ind w:firstLine="560"/>
            </w:pPr>
            <w:r>
              <w:rPr>
                <w:rFonts w:ascii="仿宋_GB2312" w:hAnsi="仿宋_GB2312" w:cs="仿宋_GB2312" w:eastAsia="仿宋_GB2312"/>
                <w:sz w:val="28"/>
              </w:rPr>
              <w:t>工程</w:t>
            </w:r>
            <w:r>
              <w:rPr>
                <w:rFonts w:ascii="仿宋_GB2312" w:hAnsi="仿宋_GB2312" w:cs="仿宋_GB2312" w:eastAsia="仿宋_GB2312"/>
                <w:sz w:val="28"/>
              </w:rPr>
              <w:t>总造价：</w:t>
            </w:r>
            <w:r>
              <w:rPr>
                <w:rFonts w:ascii="仿宋_GB2312" w:hAnsi="仿宋_GB2312" w:cs="仿宋_GB2312" w:eastAsia="仿宋_GB2312"/>
                <w:sz w:val="28"/>
              </w:rPr>
              <w:t>636521.86</w:t>
            </w:r>
            <w:r>
              <w:rPr>
                <w:rFonts w:ascii="仿宋_GB2312" w:hAnsi="仿宋_GB2312" w:cs="仿宋_GB2312" w:eastAsia="仿宋_GB2312"/>
                <w:sz w:val="28"/>
              </w:rPr>
              <w:t>元</w:t>
            </w:r>
          </w:p>
          <w:p>
            <w:pPr>
              <w:pStyle w:val="null3"/>
              <w:spacing w:after="195"/>
              <w:ind w:firstLine="538"/>
            </w:pPr>
            <w:r>
              <w:rPr>
                <w:rFonts w:ascii="仿宋_GB2312" w:hAnsi="仿宋_GB2312" w:cs="仿宋_GB2312" w:eastAsia="仿宋_GB2312"/>
                <w:sz w:val="28"/>
              </w:rPr>
              <w:t>其中：分部分项</w:t>
            </w:r>
            <w:r>
              <w:rPr>
                <w:rFonts w:ascii="仿宋_GB2312" w:hAnsi="仿宋_GB2312" w:cs="仿宋_GB2312" w:eastAsia="仿宋_GB2312"/>
                <w:sz w:val="28"/>
              </w:rPr>
              <w:t>合计</w:t>
            </w:r>
            <w:r>
              <w:rPr>
                <w:rFonts w:ascii="仿宋_GB2312" w:hAnsi="仿宋_GB2312" w:cs="仿宋_GB2312" w:eastAsia="仿宋_GB2312"/>
                <w:sz w:val="28"/>
              </w:rPr>
              <w:t>：</w:t>
            </w:r>
            <w:r>
              <w:rPr>
                <w:rFonts w:ascii="仿宋_GB2312" w:hAnsi="仿宋_GB2312" w:cs="仿宋_GB2312" w:eastAsia="仿宋_GB2312"/>
                <w:sz w:val="28"/>
              </w:rPr>
              <w:t>504219.19</w:t>
            </w:r>
            <w:r>
              <w:rPr>
                <w:rFonts w:ascii="仿宋_GB2312" w:hAnsi="仿宋_GB2312" w:cs="仿宋_GB2312" w:eastAsia="仿宋_GB2312"/>
                <w:sz w:val="28"/>
              </w:rPr>
              <w:t>元</w:t>
            </w:r>
            <w:r>
              <w:rPr>
                <w:rFonts w:ascii="仿宋_GB2312" w:hAnsi="仿宋_GB2312" w:cs="仿宋_GB2312" w:eastAsia="仿宋_GB2312"/>
                <w:sz w:val="28"/>
              </w:rPr>
              <w:t>，</w:t>
            </w:r>
            <w:r>
              <w:rPr>
                <w:rFonts w:ascii="仿宋_GB2312" w:hAnsi="仿宋_GB2312" w:cs="仿宋_GB2312" w:eastAsia="仿宋_GB2312"/>
                <w:sz w:val="28"/>
              </w:rPr>
              <w:t>措施项目</w:t>
            </w:r>
            <w:r>
              <w:rPr>
                <w:rFonts w:ascii="仿宋_GB2312" w:hAnsi="仿宋_GB2312" w:cs="仿宋_GB2312" w:eastAsia="仿宋_GB2312"/>
                <w:sz w:val="28"/>
              </w:rPr>
              <w:t>合计</w:t>
            </w:r>
            <w:r>
              <w:rPr>
                <w:rFonts w:ascii="仿宋_GB2312" w:hAnsi="仿宋_GB2312" w:cs="仿宋_GB2312" w:eastAsia="仿宋_GB2312"/>
                <w:sz w:val="28"/>
              </w:rPr>
              <w:t>：</w:t>
            </w:r>
            <w:r>
              <w:rPr>
                <w:rFonts w:ascii="仿宋_GB2312" w:hAnsi="仿宋_GB2312" w:cs="仿宋_GB2312" w:eastAsia="仿宋_GB2312"/>
                <w:sz w:val="28"/>
              </w:rPr>
              <w:t>34745.82</w:t>
            </w:r>
            <w:r>
              <w:rPr>
                <w:rFonts w:ascii="仿宋_GB2312" w:hAnsi="仿宋_GB2312" w:cs="仿宋_GB2312" w:eastAsia="仿宋_GB2312"/>
                <w:sz w:val="28"/>
              </w:rPr>
              <w:t>元</w:t>
            </w:r>
            <w:r>
              <w:rPr>
                <w:rFonts w:ascii="仿宋_GB2312" w:hAnsi="仿宋_GB2312" w:cs="仿宋_GB2312" w:eastAsia="仿宋_GB2312"/>
                <w:sz w:val="28"/>
              </w:rPr>
              <w:t>，</w:t>
            </w:r>
            <w:r>
              <w:rPr>
                <w:rFonts w:ascii="仿宋_GB2312" w:hAnsi="仿宋_GB2312" w:cs="仿宋_GB2312" w:eastAsia="仿宋_GB2312"/>
                <w:sz w:val="28"/>
              </w:rPr>
              <w:t>增值税：</w:t>
            </w:r>
            <w:r>
              <w:rPr>
                <w:rFonts w:ascii="仿宋_GB2312" w:hAnsi="仿宋_GB2312" w:cs="仿宋_GB2312" w:eastAsia="仿宋_GB2312"/>
                <w:sz w:val="28"/>
              </w:rPr>
              <w:t>52556.85元，暂列金额：45000元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1、工期：150日历天；2、质量标准：达到规定要求标准。 其他技术要求详见本工程施工图纸及工程量清单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自开标时间前六个月内出具的资信证明。依法不需要提供此项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 供应商认为需要补充的其他内容.pdf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供应商具有行政主管部门核发的建筑工程施工总承包三级（含三级）及以上资质，且具有有效的安全生产许可证，供应商需在项目电子化交易系统中按要求上传相应证明文件并进行电子签章；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拟派项目经理须具备建筑工程专业二级（含二级）以上注册建造师资格和安全生产考核合格B证，且无在建项目，供应商需在项目电子化交易系统中按要求上传相应证明文件并进行电子签章；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项目经理简历表.pdf 拟投入本项目人员配置情况表.pdf 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供应商应提交的相关资格证明材料(1).pdf 供应商认为需要补充的其他内容.pdf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工期</w:t>
            </w:r>
          </w:p>
        </w:tc>
        <w:tc>
          <w:tcPr>
            <w:tcW w:type="dxa" w:w="3322"/>
          </w:tcPr>
          <w:p>
            <w:pPr>
              <w:pStyle w:val="null3"/>
            </w:pPr>
            <w:r>
              <w:rPr>
                <w:rFonts w:ascii="仿宋_GB2312" w:hAnsi="仿宋_GB2312" w:cs="仿宋_GB2312" w:eastAsia="仿宋_GB2312"/>
              </w:rPr>
              <w:t>150日历天</w:t>
            </w:r>
          </w:p>
        </w:tc>
        <w:tc>
          <w:tcPr>
            <w:tcW w:type="dxa" w:w="1661"/>
          </w:tcPr>
          <w:p>
            <w:pPr>
              <w:pStyle w:val="null3"/>
            </w:pPr>
            <w:r>
              <w:rPr>
                <w:rFonts w:ascii="仿宋_GB2312" w:hAnsi="仿宋_GB2312" w:cs="仿宋_GB2312" w:eastAsia="仿宋_GB2312"/>
              </w:rPr>
              <w:t>响应文件封面 报价函 响应函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报价函 响应函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 盖章并加盖投标供应商公章</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技术响应方案.pdf 响应文件封面 残疾人福利性单位声明函 报价函 项目经理简历表.pdf 标的清单 拟投入本项目人员配置情况表.pdf 供应商类似项目业绩一览表 响应函 监狱企业的证明文件 供应商认为需要补充的其他内容.pdf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项目施工部署</w:t>
            </w:r>
          </w:p>
        </w:tc>
        <w:tc>
          <w:tcPr>
            <w:tcW w:type="dxa" w:w="2492"/>
          </w:tcPr>
          <w:p>
            <w:pPr>
              <w:pStyle w:val="null3"/>
            </w:pPr>
            <w:r>
              <w:rPr>
                <w:rFonts w:ascii="仿宋_GB2312" w:hAnsi="仿宋_GB2312" w:cs="仿宋_GB2312" w:eastAsia="仿宋_GB2312"/>
              </w:rPr>
              <w:t>一、评审内容 供应商针对本项目编制完善的项目施工部署，内容包含：①核心施工管理内容：施工总体部署、施工方案与技术措施、成本目标、工期目标、质量目标②施工平面布置与安排：现场围挡及出入口管理、交通组织安排、消防安排、施工平面布置图。 二、评审标准 1、完整性：方案必须全面，对评审内容中的各项要求有详细描述； 2、可实施性：切合本项目实际情况，提出步骤清晰、合理的方案； 3、针对性：方案能够紧扣项目实际情况，内容科学合理。 三、赋分标准 ①核心施工管理内容：每完全满足一个评审标准得2分，满分6分； ②施工平面布置与安排：每完全满足一个评审标准得2分，满分6分；未提供或明显套用其他项目内容的不得分。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 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施工设备配置</w:t>
            </w:r>
          </w:p>
        </w:tc>
        <w:tc>
          <w:tcPr>
            <w:tcW w:type="dxa" w:w="2492"/>
          </w:tcPr>
          <w:p>
            <w:pPr>
              <w:pStyle w:val="null3"/>
            </w:pPr>
            <w:r>
              <w:rPr>
                <w:rFonts w:ascii="仿宋_GB2312" w:hAnsi="仿宋_GB2312" w:cs="仿宋_GB2312" w:eastAsia="仿宋_GB2312"/>
              </w:rPr>
              <w:t>针对本项目拟投入的主要施工机械设备配备进行评审，评审标准：1. 完整性：拟投入设备 种类齐全，相关内容描述完整详细，得2分；2. 可实施性：设备配置及进场方案切合项目 实际，步骤清晰、安排合理，得2分；3. 针对性：设备配置方案紧密结合本项目特点，科 学可行、合理适用，得2分。赋分标准：（满分6分）每完全满足一个评审标准得2分，满 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1、①项目管理机构图；②项目现场岗位人员配置方案及各岗位工作职责（含技术负责人、施工员、安全员、资料员、材料员、质量员等核心岗位）；③项目配套管理制度及现场实施保障措施。评审标准：供应商提供方案内容完整详实、逻辑清晰、贴合本项目建设要求，可有效保障项目落地实施的得6分。三项评审内容每缺失一项扣2分；若单项内容表述简略、内容不完善、前后逻辑冲突、模板化套用、与本项目建设需求不匹配、内容杜撰、存在专业常识错误，以及其他影响项目施工实施的缺陷问题，单项扣1分，本项分数扣完为止；2、项目经理具备工程类中级及以上专业技术职称得2分，具备初级专业技术职称得1分。 评审依据：磋商文件中提供职称证书复印件并加盖投标人公章。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项目经理简历表.pdf</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2.5分，满分5分。未提供此项内容不得分。注：业绩以中标或成交通知书、协议书（合同）完工证明或竣工验收证明或其他合法证明材料，否则不作为加分项。响应文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以满足采购文件要求且投标价格最低的投标报价为评标基准价，其价格分为满分30分，其他投标单位的价格分按照下列公式计算：投标报价得分=（评标基准价/投标报价） ×30% ×100 。经评标委员会一致认定，投标单位的投标最终总报价低于公认市场成本，或超过采购预算,其响应将被拒绝；（得分计算结果保留小数点后两位，小数点第三位四舍五入）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