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版本号：政采-镇巴县-2026-0008720260403001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2026年镇巴县简池镇黄花菜种植基地建设项目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政采-镇巴县-2026-00087</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2026年镇巴县简池镇黄花菜种植基地建设项目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政采-镇巴县-2026-00087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2026年镇巴县简池镇黄花菜种植基地建设项目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种植黄花菜377亩。其中池洋村种植反季节黄花菜（青花3-2）130亩，种植（猛子6号）26亩；蒿坪村种植（猛子6号）141亩；李塘村种植（猛子6号）55亩；简池社区种植（猛子6号）25亩。（相见采购清单）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采购包1（2026年镇巴县简池镇黄花菜种植基地建设项目）：属于专门面向中小企业采购。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13571690046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黄庭芳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种植黄花菜377亩。其中池洋村种植反季节黄花菜（青花3-2）130亩，种植（猛子6号）26亩；蒿坪村种植（猛子6号）141亩；李塘村种植（猛子6号）55亩；简池社区种植（猛子6号）25亩。（详见采购清单）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2026年镇巴县简池镇黄花菜种植基地建设项目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标的名称：2026年镇巴县简池镇黄花菜种植基地建设项目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供应商在合同规定的时间内完成供货并完成种植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 止合同，依法向乙方进行经济索赔，并报请政府采购监督管理机关依法进行相应的行政处罚。甲方违约的，应当赔偿给乙方造 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应满足招标文件的要求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能全部响应招标文件所有参数要求,得10分；有负偏离每项扣1分,扣完为止；以技术偏离表为准。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投标人提供产品渠道合法的证明文件，包括但不限于销售协议或代理协议或产品合格证等，提供所有所投产品的合法来源渠道证明文件(产品制造商授权或销售协议或代理协议等) ，本项满分6分 , 每提供一个证明文件2分。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1、完整性：方案内容完整全面，对上述各项内容均有描述及说明，得3分；缺1项，得2.5分；缺2项，得2分；缺3项至5项，得0.5分。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1、完整性:方案内容完整全面，对上述各项内容均有描述及说明,得3.5分；缺1项,得3分；缺2项，得2.5分；缺3项,得2分；缺4项至6项，得0.5分。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 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售后硬件、设备保障</w:t>
            </w:r>
          </w:p>
        </w:tc>
        <w:tc>
          <w:tcPr>
            <w:tcW w:type="dxa" w:w="2492"/>
          </w:tcPr>
          <w:p>
            <w:pPr>
              <w:pStyle w:val="null3"/>
            </w:pPr>
            <w:r>
              <w:rPr>
                <w:rFonts w:ascii="仿宋_GB2312" w:hAnsi="仿宋_GB2312" w:cs="仿宋_GB2312" w:eastAsia="仿宋_GB2312"/>
              </w:rPr>
              <w:t>一、评审内容 提供项目服务所必须的厂房、加工设备、售后服务相关证明。 二、赋分标准 1、厂房提供产权证、租赁证，面积大于200平方米，2分；不提供不得分。 2、加工设备每1个或1项，2分，须提供投标人的购买发票；不提供不得分。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分，最高不超过5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