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版本号：LTZB-2026040320260407001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镇巴县2026年度省级林业草原改革发展资金林下黄花菜种植基地建设补助项目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LTZB-20260403</w:t>
      </w:r>
      <w:r>
        <w:br/>
      </w:r>
      <w:r>
        <w:br/>
      </w:r>
      <w:r>
        <w:br/>
      </w:r>
    </w:p>
    <w:p>
      <w:pPr>
        <w:pStyle w:val="null3"/>
        <w:jc w:val="center"/>
        <w:outlineLvl w:val="2"/>
      </w:pPr>
      <w:r>
        <w:rPr>
          <w:rFonts w:ascii="仿宋_GB2312" w:hAnsi="仿宋_GB2312" w:cs="仿宋_GB2312" w:eastAsia="仿宋_GB2312"/>
          <w:sz w:val="28"/>
          <w:b/>
        </w:rPr>
        <w:t>镇巴县永乐镇人民政府</w:t>
      </w:r>
    </w:p>
    <w:p>
      <w:pPr>
        <w:pStyle w:val="null3"/>
        <w:jc w:val="center"/>
        <w:outlineLvl w:val="2"/>
      </w:pPr>
      <w:r>
        <w:rPr>
          <w:rFonts w:ascii="仿宋_GB2312" w:hAnsi="仿宋_GB2312" w:cs="仿宋_GB2312" w:eastAsia="仿宋_GB2312"/>
          <w:sz w:val="28"/>
          <w:b/>
        </w:rPr>
        <w:t>兰天项目管理有限公司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兰天项目管理有限公司</w:t>
      </w:r>
      <w:r>
        <w:rPr>
          <w:rFonts w:ascii="仿宋_GB2312" w:hAnsi="仿宋_GB2312" w:cs="仿宋_GB2312" w:eastAsia="仿宋_GB2312"/>
        </w:rPr>
        <w:t>（以下简称“代理机构”）受</w:t>
      </w:r>
      <w:r>
        <w:rPr>
          <w:rFonts w:ascii="仿宋_GB2312" w:hAnsi="仿宋_GB2312" w:cs="仿宋_GB2312" w:eastAsia="仿宋_GB2312"/>
        </w:rPr>
        <w:t>镇巴县永乐镇人民政府</w:t>
      </w:r>
      <w:r>
        <w:rPr>
          <w:rFonts w:ascii="仿宋_GB2312" w:hAnsi="仿宋_GB2312" w:cs="仿宋_GB2312" w:eastAsia="仿宋_GB2312"/>
        </w:rPr>
        <w:t>委托，拟对</w:t>
      </w:r>
      <w:r>
        <w:rPr>
          <w:rFonts w:ascii="仿宋_GB2312" w:hAnsi="仿宋_GB2312" w:cs="仿宋_GB2312" w:eastAsia="仿宋_GB2312"/>
        </w:rPr>
        <w:t>镇巴县2026年度省级林业草原改革发展资金林下黄花菜种植基地建设补助项目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LTZB-20260403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镇巴县2026年度省级林业草原改革发展资金林下黄花菜种植基地建设补助项目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建设林下黄花菜种植基地400亩。</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采购包1（镇巴县2026年度省级林业草原改革发展资金林下黄花菜种植基地建设补助项目）：属于专门面向中小企业采购。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非联合体投标声明及无关联关系：本项目不接受联合体投标；单位负责人为同一人或者存在控股、管理关系的不同单位，不得参加同一项目的响应，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镇巴县永乐镇人民政府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永乐镇核桃树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镇巴县永乐镇人民政府经办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15029667678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兰天项目管理有限公司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陕西省西安市碑林区陕西省西安市碑林区红缨路9号豪盛大厦A座10604室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耿女士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15029568581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采购包1：675,000.00元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开户名称：兰天项目管理有限公司汉中分公司</w:t>
            </w:r>
          </w:p>
          <w:p>
            <w:pPr>
              <w:pStyle w:val="null3"/>
            </w:pPr>
            <w:r>
              <w:rPr>
                <w:rFonts w:ascii="仿宋_GB2312" w:hAnsi="仿宋_GB2312" w:cs="仿宋_GB2312" w:eastAsia="仿宋_GB2312"/>
              </w:rPr>
              <w:t>开户银行：中国建设银行股份有限公司汉中分行营业部</w:t>
            </w:r>
          </w:p>
          <w:p>
            <w:pPr>
              <w:pStyle w:val="null3"/>
            </w:pPr>
            <w:r>
              <w:rPr>
                <w:rFonts w:ascii="仿宋_GB2312" w:hAnsi="仿宋_GB2312" w:cs="仿宋_GB2312" w:eastAsia="仿宋_GB2312"/>
              </w:rPr>
              <w:t>银行账号：61050165001500000799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代理服务费收费标准：代理服务费参照《招标代理服务收费管理暂行办法》计价[2002]1980号和《国家发改委办公厅关于招标代理服务收费有关问题的通知》（发改办价格〔2003〕857号）文件服务类标准计算。</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镇巴县永乐镇人民政府</w:t>
      </w:r>
      <w:r>
        <w:rPr>
          <w:rFonts w:ascii="仿宋_GB2312" w:hAnsi="仿宋_GB2312" w:cs="仿宋_GB2312" w:eastAsia="仿宋_GB2312"/>
        </w:rPr>
        <w:t>和</w:t>
      </w:r>
      <w:r>
        <w:rPr>
          <w:rFonts w:ascii="仿宋_GB2312" w:hAnsi="仿宋_GB2312" w:cs="仿宋_GB2312" w:eastAsia="仿宋_GB2312"/>
        </w:rPr>
        <w:t>兰天项目管理有限公司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镇巴县永乐镇人民政府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兰天项目管理有限公司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镇巴县永乐镇人民政府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兰天项目管理有限公司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符合国家规定及相关标准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兰天项目管理有限公司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兰天项目管理有限公司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兰天项目管理有限公司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联系人：马景佳</w:t>
      </w:r>
    </w:p>
    <w:p>
      <w:pPr>
        <w:pStyle w:val="null3"/>
      </w:pPr>
      <w:r>
        <w:rPr>
          <w:rFonts w:ascii="仿宋_GB2312" w:hAnsi="仿宋_GB2312" w:cs="仿宋_GB2312" w:eastAsia="仿宋_GB2312"/>
        </w:rPr>
        <w:t>联系电话：1335448555</w:t>
      </w:r>
    </w:p>
    <w:p>
      <w:pPr>
        <w:pStyle w:val="null3"/>
      </w:pPr>
      <w:r>
        <w:rPr>
          <w:rFonts w:ascii="仿宋_GB2312" w:hAnsi="仿宋_GB2312" w:cs="仿宋_GB2312" w:eastAsia="仿宋_GB2312"/>
        </w:rPr>
        <w:t>地址：陕西省西安市碑林区陕西省西安市碑林区红缨路9号豪盛大厦A座10604室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建设林下黄花菜种植基地400亩。</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675,000.00</w:t>
      </w:r>
    </w:p>
    <w:p>
      <w:pPr>
        <w:pStyle w:val="null3"/>
      </w:pPr>
      <w:r>
        <w:rPr>
          <w:rFonts w:ascii="仿宋_GB2312" w:hAnsi="仿宋_GB2312" w:cs="仿宋_GB2312" w:eastAsia="仿宋_GB2312"/>
        </w:rPr>
        <w:t>采购包最高限价（元）: 675,000.00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镇巴县2026年度省级林业草原改革发展资金林下黄花菜种植基地建设补助项目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675,000.00</w:t>
            </w:r>
          </w:p>
        </w:tc>
        <w:tc>
          <w:tcPr>
            <w:tcW w:type="dxa" w:w="831"/>
          </w:tcPr>
          <w:p>
            <w:pPr>
              <w:pStyle w:val="null3"/>
            </w:pPr>
            <w:r>
              <w:rPr>
                <w:rFonts w:ascii="仿宋_GB2312" w:hAnsi="仿宋_GB2312" w:cs="仿宋_GB2312" w:eastAsia="仿宋_GB2312"/>
              </w:rPr>
              <w:t>675000</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标的名称：镇巴县2026年度省级林业草原改革发展资金林下黄花菜种植基地建设补助项目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技术要求详见采购清单</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90日历天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镇巴县永乐镇</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符合国家规定及相关标准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供应商在合同规定的时间内完成供货并完成种植</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 止合同，依法向乙方进行经济索赔，并报请政府采购监督管理机关依法进行相应的行政处罚。甲方违约的，应当赔偿给乙方造 成的经济损失。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供应商应提交的相关资格证明材料.pdf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供应商应提交的相关资格证明材料.pdf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非联合体投标声明及无关联关系</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投标分项报价表.xlsx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投标分项报价表.xlsx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响应文件封面 服务方案</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应符合磋商文件的规定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按照招标文件要求提交了保证金</w:t>
            </w:r>
          </w:p>
        </w:tc>
        <w:tc>
          <w:tcPr>
            <w:tcW w:type="dxa" w:w="1661"/>
          </w:tcPr>
          <w:p>
            <w:pPr>
              <w:pStyle w:val="null3"/>
            </w:pPr>
            <w:r>
              <w:rPr>
                <w:rFonts w:ascii="仿宋_GB2312" w:hAnsi="仿宋_GB2312" w:cs="仿宋_GB2312" w:eastAsia="仿宋_GB2312"/>
              </w:rPr>
              <w:t>供应商认为需要补充的其他内容.pdf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投标文件有法定代表人或授权委托人的签字或盖章并加盖投标供应商公章</w:t>
            </w:r>
          </w:p>
        </w:tc>
        <w:tc>
          <w:tcPr>
            <w:tcW w:type="dxa" w:w="1661"/>
          </w:tcPr>
          <w:p>
            <w:pPr>
              <w:pStyle w:val="null3"/>
            </w:pPr>
            <w:r>
              <w:rPr>
                <w:rFonts w:ascii="仿宋_GB2312" w:hAnsi="仿宋_GB2312" w:cs="仿宋_GB2312" w:eastAsia="仿宋_GB2312"/>
              </w:rPr>
              <w:t>中小企业声明函 报价表 响应文件封面 技术参数偏离表.pdf 商务条款偏差表.pdf 政府采购供应商拒绝政府采购领域商业贿赂承诺书.pdf 残疾人福利性单位声明函 供应商应提交的相关资格证明材料.pdf 服务方案 标的清单 响应函 监狱企业的证明文件 供应商认为需要补充的其他内容.pdf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法律、规章、规范性文件和招标文件规定的其他无效情形（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中小企业声明函 报价表 响应文件封面 技术参数偏离表.pdf 商务条款偏差表.pdf 政府采购供应商拒绝政府采购领域商业贿赂承诺书.pdf 残疾人福利性单位声明函 供应商应提交的相关资格证明材料.pdf 服务方案 标的清单 响应函 监狱企业的证明文件 供应商认为需要补充的其他内容.pdf</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一、评审内容 采购标的技术参数清楚、明确。 二、赋分标准 能全部响应招标文件所有参数要求,得6分；有负偏离每项扣1分,扣完为止；以技术偏离表为准。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针对本项目提供完整、合理、详细的实施方案，方案包含：①项目组织和人员安排；②服务人员组织管理制度；③采购运输；④质量保证措施；⑤供货计划与进度保障；⑥验收及交接计划。 二、赋分标准 1、完整性：方案内容完整全面，对上述各项内容均有描述及说明，得6分；缺1项，得5分；缺2项，得4分；缺3项至5项，得1分。 2、针对性：针对性强，得4分；针对性一般，得2分；缺乏针对性，不得分。 3、可实施性:可实施性强,得4分；可实施性一般，得2分；缺乏可实施性,不得分。 4、不提供此项的,不得分。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产品质量保证</w:t>
            </w:r>
          </w:p>
        </w:tc>
        <w:tc>
          <w:tcPr>
            <w:tcW w:type="dxa" w:w="2492"/>
          </w:tcPr>
          <w:p>
            <w:pPr>
              <w:pStyle w:val="null3"/>
            </w:pPr>
            <w:r>
              <w:rPr>
                <w:rFonts w:ascii="仿宋_GB2312" w:hAnsi="仿宋_GB2312" w:cs="仿宋_GB2312" w:eastAsia="仿宋_GB2312"/>
              </w:rPr>
              <w:t>一、评审内容 品种适宜当地气候、土壤、种植情况，品种纯度、净度、水分指标、健康度，检疫性有害生物、产品健康检测、种传病害防控措施，检测机制，产品各批次检测、留样、追溯体系。包含：①品种适应性；②质量检测与控制；③产品质量指标；④包装、标识、储存方案；⑤检疫与安全性。 二、赋分标准 1、完整性:方案内容完整全面，对上述各项内容均有描述及说明,得5分；缺1项,得4分；缺2项,得3分；缺3项至4项，得1分。 2、针对性：针对性强，得4分；针对性一般，得2分；缺乏针对性，不得分。 3、可实施性:可实施性强，得4分；可实施性一般，得2分；缺乏可实施性,不得分。 4、不提供此项的，不得分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种植日常维护和管理</w:t>
            </w:r>
          </w:p>
        </w:tc>
        <w:tc>
          <w:tcPr>
            <w:tcW w:type="dxa" w:w="2492"/>
          </w:tcPr>
          <w:p>
            <w:pPr>
              <w:pStyle w:val="null3"/>
            </w:pPr>
            <w:r>
              <w:rPr>
                <w:rFonts w:ascii="仿宋_GB2312" w:hAnsi="仿宋_GB2312" w:cs="仿宋_GB2312" w:eastAsia="仿宋_GB2312"/>
              </w:rPr>
              <w:t>一、评审内容 针对项目实际情况提出切实可行有具体措施的抚育质量保证方案及具体的管护措施：内容包括：①选地与整地；② 挖穴；③栽植要点；④中耕除草；⑤追肥；⑥病虫害防治；⑦采收。 二、赋分标准 1、完整性:方案内容完整全面，对上述各项内容均有描述及说明,得7分；缺1项,得6分；缺2项，得5分；缺3项,得4分；缺4项至6项，得1分。 2、针对性：针对性强，得4分；针对性一般，得2分；缺乏针对性，不得分。 3、可实施性:可实施性强，得4分；可实施性一般，得2分；缺乏可实施性,不得分。 4、不提供此项的，不得分。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应急处理措施</w:t>
            </w:r>
          </w:p>
        </w:tc>
        <w:tc>
          <w:tcPr>
            <w:tcW w:type="dxa" w:w="2492"/>
          </w:tcPr>
          <w:p>
            <w:pPr>
              <w:pStyle w:val="null3"/>
            </w:pPr>
            <w:r>
              <w:rPr>
                <w:rFonts w:ascii="仿宋_GB2312" w:hAnsi="仿宋_GB2312" w:cs="仿宋_GB2312" w:eastAsia="仿宋_GB2312"/>
              </w:rPr>
              <w:t>一、评审内容 针对项目可能出现的各类突发情况，制定相应的应急处理措施。包含:①产品断供或缺货应急；②农时延误应急措施；③产品质量不合格处置；④产品病虫害携带应急措施；⑤运输与储存应急措施；⑥干旱、洪涝、低温、冻害、倒春寒措施。 二、赋分标准 1、完整性:方案内容完整全面，对上述各项内容均有描述及说明,得3分；缺1项,得2.5分；缺2项,得2分；缺3项,得1.5分；缺4项至5项，得0.5分。 2、针对性：针对性强，得3分；针对性一般，得1分；缺乏针对性，不得分。 3、可实施性:可实施性强，得3分；可实施性一般，得1分；缺乏可实施性,不得分。 4、不提供此项的，不得分。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拟投入机械设备</w:t>
            </w:r>
          </w:p>
        </w:tc>
        <w:tc>
          <w:tcPr>
            <w:tcW w:type="dxa" w:w="2492"/>
          </w:tcPr>
          <w:p>
            <w:pPr>
              <w:pStyle w:val="null3"/>
            </w:pPr>
            <w:r>
              <w:rPr>
                <w:rFonts w:ascii="仿宋_GB2312" w:hAnsi="仿宋_GB2312" w:cs="仿宋_GB2312" w:eastAsia="仿宋_GB2312"/>
              </w:rPr>
              <w:t>针对本项目实际情况投入的机械设备情况：包含:①机械设备投入情况；②机械设备保障措施。 二、赋分标准 1、完整性:方案内容完整全面，对上述各项内容均有描述及说明,得2分；缺1项,得1分。 2、针对性：针对性强，得2分；针对性一般，得1分；缺乏针对性，不得分。 3、可实施性:可实施性强，得2分；可实施性一般，得1分；缺乏可实施性,不得分。 4、不提供此项的，不得分。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售后承诺</w:t>
            </w:r>
          </w:p>
        </w:tc>
        <w:tc>
          <w:tcPr>
            <w:tcW w:type="dxa" w:w="2492"/>
          </w:tcPr>
          <w:p>
            <w:pPr>
              <w:pStyle w:val="null3"/>
            </w:pPr>
            <w:r>
              <w:rPr>
                <w:rFonts w:ascii="仿宋_GB2312" w:hAnsi="仿宋_GB2312" w:cs="仿宋_GB2312" w:eastAsia="仿宋_GB2312"/>
              </w:rPr>
              <w:t>一、评审内容 根据本项目的服务内容，做出切实可行的服务承诺，确保项目能按时按质完成，达到服务要求且能保证项目质量。包含:①项目能按时按质完成承诺；②产品售后、补种承诺；③病虫害应急处置、技术支持响应承诺；④销售渠道保障承诺；⑤产品成活率保证承诺。 二、赋分标准 1、完整性:方案内容完整全面，对上述各项内容均有描述及说明,得5分；缺1项,得4分；缺2项,得3分；缺3项至4项，得1分。 2、针对性：针对性强，得3分；针对 性一般，得1分；缺乏针对性，不得分。 3、可实施性:可实施性强，得3分；可实施性一般，得1分；缺乏可实施性,不得分。4、不提供此项的，不得分。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五年(2021年至今)类似项目的业绩(以合同签订之日或中标通知书落款日期为准)，每提供一个类似项目业绩得2分，最高不超过6分。须提供复印清晰的复印件，如因复印等问题造成无法辨识，责任由投标人自负。</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在采购预算内且满足招标文件要求且投标报价最低的投标人的价格为基准价，其价格分为20分。各投标人的价格分统一按照下列公式计算：价格分=（基准价/投标响应报价）*20* 100% 。 注：本项目专门面向中小企业采购，评审时不再进行价格扣除。</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投标分项报价表.xlsx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详见附件：投标分项报价表.xlsx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详见附件：技术参数偏离表.pdf</w:t>
      </w:r>
    </w:p>
    <w:p>
      <w:pPr>
        <w:pStyle w:val="null3"/>
        <w:ind w:firstLine="960"/>
      </w:pPr>
      <w:r>
        <w:rPr>
          <w:rFonts w:ascii="仿宋_GB2312" w:hAnsi="仿宋_GB2312" w:cs="仿宋_GB2312" w:eastAsia="仿宋_GB2312"/>
        </w:rPr>
        <w:t>详见附件：商务条款偏差表.pdf</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详见附件：政府采购供应商拒绝政府采购领域商业贿赂承诺书.pdf</w:t>
      </w:r>
    </w:p>
    <w:p>
      <w:pPr>
        <w:pStyle w:val="null3"/>
        <w:ind w:firstLine="960"/>
      </w:pPr>
      <w:r>
        <w:rPr>
          <w:rFonts w:ascii="仿宋_GB2312" w:hAnsi="仿宋_GB2312" w:cs="仿宋_GB2312" w:eastAsia="仿宋_GB2312"/>
        </w:rPr>
        <w:t>详见附件：供应商认为需要补充的其他内容.pdf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详见附件：种苗采购种植合同.docx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