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01F47">
      <w:pPr>
        <w:jc w:val="center"/>
        <w:rPr>
          <w:rFonts w:eastAsia="黑体"/>
          <w:b/>
          <w:sz w:val="32"/>
          <w:szCs w:val="32"/>
        </w:rPr>
      </w:pPr>
      <w:r>
        <w:rPr>
          <w:rFonts w:hAnsi="黑体" w:eastAsia="黑体"/>
          <w:b/>
          <w:sz w:val="32"/>
          <w:szCs w:val="32"/>
        </w:rPr>
        <w:t>合同条款及格式</w:t>
      </w:r>
    </w:p>
    <w:p w14:paraId="02FDD7A4">
      <w:pPr>
        <w:jc w:val="center"/>
        <w:rPr>
          <w:b/>
        </w:rPr>
      </w:pPr>
      <w:bookmarkStart w:id="0" w:name="第04章合同条款及格式01"/>
      <w:bookmarkEnd w:id="0"/>
      <w:r>
        <w:rPr>
          <w:rFonts w:hint="eastAsia"/>
          <w:b/>
        </w:rPr>
        <w:t>第1节　通用合同条款</w:t>
      </w:r>
    </w:p>
    <w:p w14:paraId="4EFE87CE">
      <w:pPr>
        <w:rPr>
          <w:b/>
        </w:rPr>
      </w:pPr>
      <w:bookmarkStart w:id="1" w:name="第04章合同条款及格式0101"/>
      <w:bookmarkEnd w:id="1"/>
      <w:r>
        <w:rPr>
          <w:rFonts w:hint="eastAsia"/>
          <w:b/>
        </w:rPr>
        <w:t>1　一般约定</w:t>
      </w:r>
    </w:p>
    <w:p w14:paraId="34F6EFF7">
      <w:r>
        <w:rPr>
          <w:rFonts w:hint="eastAsia"/>
        </w:rPr>
        <w:t>　　本条全文引用《标准施工招标文件》(2007年版)相应条款，并补充以下内容：</w:t>
      </w:r>
    </w:p>
    <w:p w14:paraId="4FF14285">
      <w:r>
        <w:rPr>
          <w:rFonts w:hint="eastAsia"/>
        </w:rPr>
        <w:t>　1.1　词语定义</w:t>
      </w:r>
    </w:p>
    <w:p w14:paraId="25D8400E">
      <w:r>
        <w:rPr>
          <w:rFonts w:hint="eastAsia"/>
        </w:rPr>
        <w:t>　　1.1.1　合同</w:t>
      </w:r>
    </w:p>
    <w:p w14:paraId="50D692D0">
      <w:r>
        <w:rPr>
          <w:rFonts w:hint="eastAsia"/>
        </w:rPr>
        <w:t>　　1.1.1.6　技术标准和要求：指构成合同文件组成部分的名为技术标准和要求(合同技术条款)的文件，包括合同双方当事人约定对其所作的修改或补充。</w:t>
      </w:r>
    </w:p>
    <w:p w14:paraId="4C962786">
      <w:r>
        <w:rPr>
          <w:rFonts w:hint="eastAsia"/>
        </w:rPr>
        <w:t>　　1.1.1.7　图纸：指列入合同的招标图纸、投标图纸和发包人按合同约定向承包人提供的施工图纸和其它图纸(包括配套说明和有关资料)。列入合同的招标图纸已成为合同文件的一部分，具有合同效力，主要用于在履行合同中作为衡量变更的依据，但不能直接用于施工。经发包人确认进入合同的投标图纸亦成为合同文件的一部分，用于在履行合同中检验承包人是否按其投标时承诺的条件进行施工的依据，亦不能直接用于施工。</w:t>
      </w:r>
    </w:p>
    <w:p w14:paraId="2EDC4C69">
      <w:r>
        <w:rPr>
          <w:rFonts w:hint="eastAsia"/>
        </w:rPr>
        <w:t>　　1.1.2　合同当事人和人员</w:t>
      </w:r>
    </w:p>
    <w:p w14:paraId="4FBC2E96">
      <w:r>
        <w:rPr>
          <w:rFonts w:hint="eastAsia"/>
        </w:rPr>
        <w:t>　　1.1.2.3　承包人：指专用合同条款中指明并与发包人在合同协议书中签字的当事人。</w:t>
      </w:r>
    </w:p>
    <w:p w14:paraId="6D4A3379">
      <w:r>
        <w:rPr>
          <w:rFonts w:hint="eastAsia"/>
        </w:rPr>
        <w:t>　　1.1.2.5　分包人：指专用合同条款中指明的，从承包人处分包合同中某一部分工程，并与其签订分包合同的分包人。</w:t>
      </w:r>
    </w:p>
    <w:p w14:paraId="22601BB5">
      <w:r>
        <w:rPr>
          <w:rFonts w:hint="eastAsia"/>
        </w:rPr>
        <w:t>　　1.1.3　工程和设备</w:t>
      </w:r>
    </w:p>
    <w:p w14:paraId="1F84F54F">
      <w:r>
        <w:rPr>
          <w:rFonts w:hint="eastAsia"/>
        </w:rPr>
        <w:t>　　1.1.3.10　永久占地：指发包人为建设本合同工程永久征用的场地。</w:t>
      </w:r>
    </w:p>
    <w:p w14:paraId="0116E354">
      <w:r>
        <w:rPr>
          <w:rFonts w:hint="eastAsia"/>
        </w:rPr>
        <w:t>　　1.1.3.11　临时占地：指发包人为建设本合同工程临时征用，承包人在完工后须按合同要求退还的场地。</w:t>
      </w:r>
    </w:p>
    <w:p w14:paraId="0DA4D7CC">
      <w:r>
        <w:rPr>
          <w:rFonts w:hint="eastAsia"/>
        </w:rPr>
        <w:t>　　1.1.4　日期</w:t>
      </w:r>
    </w:p>
    <w:p w14:paraId="2807B8EB">
      <w:r>
        <w:rPr>
          <w:rFonts w:hint="eastAsia"/>
        </w:rPr>
        <w:t>　　1.1.4.4　竣工日期：即合同工程完工日期，指第1.1.4.3目约定工期届满时的日期。实际完工日期以合同工程完工证书中写明的日期为准。</w:t>
      </w:r>
    </w:p>
    <w:p w14:paraId="643C567D">
      <w:r>
        <w:rPr>
          <w:rFonts w:hint="eastAsia"/>
        </w:rPr>
        <w:t>　　1.1.4.5　缺陷责任期：即工程质量保修期，指履行第19.2款约定的缺陷责任的期限，包括根据第19.3款约定所作的延长，具体期限由专用合同条款约定。</w:t>
      </w:r>
    </w:p>
    <w:p w14:paraId="6494A044">
      <w:r>
        <w:rPr>
          <w:rFonts w:hint="eastAsia"/>
        </w:rPr>
        <w:t>　1.6　图纸和承包人文件</w:t>
      </w:r>
    </w:p>
    <w:p w14:paraId="118CBA6B">
      <w:r>
        <w:rPr>
          <w:rFonts w:hint="eastAsia"/>
        </w:rPr>
        <w:t>　　1.6.1　图纸的提供</w:t>
      </w:r>
    </w:p>
    <w:p w14:paraId="15C6E9C5">
      <w:r>
        <w:rPr>
          <w:rFonts w:hint="eastAsia"/>
        </w:rPr>
        <w:t>　　发包人应按技术标准和要求(合同技术条款)约定的期限和数量将施工图纸以及其它图纸(包括配套说明和有关资料)提供给承包人。由于发包人未按时提供图纸造成工期延误的，按第11.3款的约定办理。</w:t>
      </w:r>
    </w:p>
    <w:p w14:paraId="28120B61">
      <w:r>
        <w:rPr>
          <w:rFonts w:hint="eastAsia"/>
        </w:rPr>
        <w:t>　　1.6.2　承包人提供的文件</w:t>
      </w:r>
    </w:p>
    <w:p w14:paraId="23910377">
      <w:r>
        <w:rPr>
          <w:rFonts w:hint="eastAsia"/>
        </w:rPr>
        <w:t>　　承包人提供的文件应按技术标准和要求(合同技术条款)约定的期限和数量提供给监理人。监理人应按技术标准和要求(合同技术条款)约定的期限批复承包人。</w:t>
      </w:r>
    </w:p>
    <w:p w14:paraId="08CEAEEB">
      <w:r>
        <w:rPr>
          <w:rFonts w:hint="eastAsia"/>
        </w:rPr>
        <w:t>　　1.6.3　图纸的修改</w:t>
      </w:r>
    </w:p>
    <w:p w14:paraId="75A1915C">
      <w:r>
        <w:rPr>
          <w:rFonts w:hint="eastAsia"/>
        </w:rPr>
        <w:t>　　设计人需要对已发给承包人的施工图纸进行修改时，监理人应在技术标准和要求(合同技术条款)约定的期限内签发施工图纸的修改图给承包人。承包人应按技术标准和要求(合同技术条款)的约定编制一份承包人实施计划提交监理人批准后执行。</w:t>
      </w:r>
    </w:p>
    <w:p w14:paraId="623385EB">
      <w:r>
        <w:rPr>
          <w:rFonts w:hint="eastAsia"/>
        </w:rPr>
        <w:t>　1.7　联络</w:t>
      </w:r>
    </w:p>
    <w:p w14:paraId="77AB4F6D">
      <w:r>
        <w:rPr>
          <w:rFonts w:hint="eastAsia"/>
        </w:rPr>
        <w:t>　　1.7.2　第1.7.1项中的通知、批准、证明、证书、指示、要求、请求、同意、意见、确定和决定等来往函件，均应在合同约定的期限内送达指定地点和接收人，并办理签收手续。来往函件的送达期限在技术标准和要求(合同技术条款)中约定，送达地点在专用合同条款中约定。</w:t>
      </w:r>
    </w:p>
    <w:p w14:paraId="364BADB7">
      <w:r>
        <w:rPr>
          <w:rFonts w:hint="eastAsia"/>
        </w:rPr>
        <w:t>　　1.7.3　来往函件均应按合同约定的期限及时发出和答复，不得无故扣压和拖延，亦不得拒收。否则，由此造成的后果由责任方负责。</w:t>
      </w:r>
    </w:p>
    <w:p w14:paraId="65691ED1">
      <w:r>
        <w:rPr>
          <w:rFonts w:hint="eastAsia"/>
        </w:rPr>
        <w:t>　　1.11　专利技术</w:t>
      </w:r>
    </w:p>
    <w:p w14:paraId="7215BC3F">
      <w:r>
        <w:rPr>
          <w:rFonts w:hint="eastAsia"/>
        </w:rPr>
        <w:t>　　1.11.4　合同实施过程中，发包人要求承包人采用专利技术的，发包人应办理相应的使用手续，承包人应按发包人约定的条件使用，并承担使用专利技术的相关试验工作，所需费用由发包人承担。</w:t>
      </w:r>
    </w:p>
    <w:p w14:paraId="162C65CA">
      <w:pPr>
        <w:rPr>
          <w:b/>
        </w:rPr>
      </w:pPr>
      <w:bookmarkStart w:id="2" w:name="第04章合同条款及格式0102"/>
      <w:bookmarkEnd w:id="2"/>
      <w:r>
        <w:rPr>
          <w:rFonts w:hint="eastAsia"/>
          <w:b/>
        </w:rPr>
        <w:t>2　发包人义务</w:t>
      </w:r>
    </w:p>
    <w:p w14:paraId="57C234A6">
      <w:r>
        <w:rPr>
          <w:rFonts w:hint="eastAsia"/>
        </w:rPr>
        <w:t>　　本条全文引用《标准施工招标文件》(2007年版)相应条款，并补充以下内容：</w:t>
      </w:r>
    </w:p>
    <w:p w14:paraId="36B10C6F">
      <w:r>
        <w:rPr>
          <w:rFonts w:hint="eastAsia"/>
        </w:rPr>
        <w:t>　2.3　提供施工场地</w:t>
      </w:r>
    </w:p>
    <w:p w14:paraId="59ADC8B7">
      <w:r>
        <w:rPr>
          <w:rFonts w:hint="eastAsia"/>
        </w:rPr>
        <w:t>　　2.3.1　发包人应在合同双方签订合同协议书后的14天内，将本合同工程的施工场地范围图提交给承包人。发包人提供的施工场地范围图应标明场地范围内永久占地与临时占地的范围和界限，以及指明提供给承包人用于施工场地布置的范围和界限及其有关资料。</w:t>
      </w:r>
    </w:p>
    <w:p w14:paraId="70091C73">
      <w:r>
        <w:rPr>
          <w:rFonts w:hint="eastAsia"/>
        </w:rPr>
        <w:t>　　2.3.2　发包人提供的施工用地范围在专用合同条款中约定。</w:t>
      </w:r>
    </w:p>
    <w:p w14:paraId="64B33998">
      <w:r>
        <w:rPr>
          <w:rFonts w:hint="eastAsia"/>
        </w:rPr>
        <w:t>　　2.3.3　除专用合同条款另有约定外，发包人应按技术标准和要求(合同技术条款)的约定，向承包人提供施工场地内的工程地质图纸和报告，以及地下障碍物图纸等施工场地有关资料，并保证资料的真实、准确、完整。</w:t>
      </w:r>
    </w:p>
    <w:p w14:paraId="3254C931">
      <w:r>
        <w:rPr>
          <w:rFonts w:hint="eastAsia"/>
        </w:rPr>
        <w:t>　2.7　组织竣工验收(组织法人验收)</w:t>
      </w:r>
    </w:p>
    <w:p w14:paraId="094122C5">
      <w:r>
        <w:rPr>
          <w:rFonts w:hint="eastAsia"/>
        </w:rPr>
        <w:t>　　发包人应按合同约定及时组织法人验收。</w:t>
      </w:r>
    </w:p>
    <w:p w14:paraId="3BAEA856">
      <w:r>
        <w:rPr>
          <w:rFonts w:hint="eastAsia"/>
        </w:rPr>
        <w:t>　2.8　其它义务</w:t>
      </w:r>
    </w:p>
    <w:p w14:paraId="474CE053">
      <w:r>
        <w:rPr>
          <w:rFonts w:hint="eastAsia"/>
        </w:rPr>
        <w:t>　　其它义务在专用合同条款中补充约定。</w:t>
      </w:r>
    </w:p>
    <w:p w14:paraId="16E4FCE6">
      <w:pPr>
        <w:rPr>
          <w:b/>
        </w:rPr>
      </w:pPr>
      <w:bookmarkStart w:id="3" w:name="第04章合同条款及格式0103"/>
      <w:bookmarkEnd w:id="3"/>
      <w:r>
        <w:rPr>
          <w:rFonts w:hint="eastAsia"/>
          <w:b/>
        </w:rPr>
        <w:t>3　监理人</w:t>
      </w:r>
    </w:p>
    <w:p w14:paraId="72CCFF47">
      <w:r>
        <w:rPr>
          <w:rFonts w:hint="eastAsia"/>
        </w:rPr>
        <w:t>　　本条全文引用《标准施工招标文件》(2007年版)相应条款，并补充以下内容：</w:t>
      </w:r>
    </w:p>
    <w:p w14:paraId="543CFA5F">
      <w:r>
        <w:rPr>
          <w:rFonts w:hint="eastAsia"/>
        </w:rPr>
        <w:t>　3.1　监理人的职责和权力</w:t>
      </w:r>
    </w:p>
    <w:p w14:paraId="4EC872C8">
      <w:r>
        <w:rPr>
          <w:rFonts w:hint="eastAsia"/>
        </w:rPr>
        <w:t>　　3.1.1　监理人受发包人的委托，享有合同约定的权力。监理人的权力范围在专用合同条款中明确。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第15条的约定增加相应的费用，并通知承包人。</w:t>
      </w:r>
    </w:p>
    <w:p w14:paraId="4083B530">
      <w:pPr>
        <w:rPr>
          <w:b/>
        </w:rPr>
      </w:pPr>
      <w:bookmarkStart w:id="4" w:name="第04章合同条款及格式0104"/>
      <w:bookmarkEnd w:id="4"/>
      <w:r>
        <w:rPr>
          <w:rFonts w:hint="eastAsia"/>
          <w:b/>
        </w:rPr>
        <w:t>4　承包人</w:t>
      </w:r>
    </w:p>
    <w:p w14:paraId="7C0D95FC">
      <w:r>
        <w:rPr>
          <w:rFonts w:hint="eastAsia"/>
        </w:rPr>
        <w:t>　　本条全文引用《标准施工招标文件》(2007年版)相应条款，并补充以下内容：</w:t>
      </w:r>
    </w:p>
    <w:p w14:paraId="128A9326">
      <w:r>
        <w:rPr>
          <w:rFonts w:hint="eastAsia"/>
        </w:rPr>
        <w:t>　4.1　承包人的一般义务</w:t>
      </w:r>
    </w:p>
    <w:p w14:paraId="0A6C6D50">
      <w:r>
        <w:rPr>
          <w:rFonts w:hint="eastAsia"/>
        </w:rPr>
        <w:t>　　4.1.3　完成各项承包工作</w:t>
      </w:r>
    </w:p>
    <w:p w14:paraId="1C9F539C">
      <w:r>
        <w:rPr>
          <w:rFonts w:hint="eastAsia"/>
        </w:rPr>
        <w:t>　　承包人应按合同约定以及监理人根据第3.4款作出的指示，实施、完成全部工程，并修补工程中的任何缺陷。除第5.2款、第6.2款另有约定外，承包人应提供为完成合同工作所需的劳务、材料、施工设备、工程设备和其它物品，并按合同约定负责临时设施的设计、建造、运行、维护、管理和拆除。</w:t>
      </w:r>
    </w:p>
    <w:p w14:paraId="302507C9">
      <w:r>
        <w:rPr>
          <w:rFonts w:hint="eastAsia"/>
        </w:rPr>
        <w:t>　　4.1.9　工程的维护和照管</w:t>
      </w:r>
    </w:p>
    <w:p w14:paraId="5B9A80EC">
      <w:r>
        <w:rPr>
          <w:rFonts w:hint="eastAsia"/>
        </w:rPr>
        <w:t>　　除合同另有约定外，合同工程完工证书颁发前，承包人应负责照管和维护工程。合同工程完工证书颁发时尚有部分未完工程的，承包人还应负责该未完工程的照管和维护工作，直至完工后移交给发包人为止。</w:t>
      </w:r>
    </w:p>
    <w:p w14:paraId="75B5013C">
      <w:r>
        <w:rPr>
          <w:rFonts w:hint="eastAsia"/>
        </w:rPr>
        <w:t>　　4.1.10　其它义务</w:t>
      </w:r>
    </w:p>
    <w:p w14:paraId="4905036E">
      <w:r>
        <w:rPr>
          <w:rFonts w:hint="eastAsia"/>
        </w:rPr>
        <w:t>　　其它义务在专用合同条款中补充约定。</w:t>
      </w:r>
    </w:p>
    <w:p w14:paraId="59EB9CCF">
      <w:r>
        <w:rPr>
          <w:rFonts w:hint="eastAsia"/>
        </w:rPr>
        <w:t>　4.2　履约担保</w:t>
      </w:r>
    </w:p>
    <w:p w14:paraId="46F7AC0A">
      <w:r>
        <w:rPr>
          <w:rFonts w:hint="eastAsia"/>
        </w:rPr>
        <w:t>　　承包人应保证其履约担保在发包人颁发合同工程完工证书前一直有效。发包人应在合同工程完工证书颁发后28天内将履约担保退还给承包人。</w:t>
      </w:r>
    </w:p>
    <w:p w14:paraId="342C8520">
      <w:r>
        <w:rPr>
          <w:rFonts w:hint="eastAsia"/>
        </w:rPr>
        <w:t>　4.3　分包</w:t>
      </w:r>
    </w:p>
    <w:p w14:paraId="1705EA50">
      <w:r>
        <w:rPr>
          <w:rFonts w:hint="eastAsia"/>
        </w:rPr>
        <w:t>　　4.3.6　分包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14:paraId="03BB9BC2">
      <w:r>
        <w:rPr>
          <w:rFonts w:hint="eastAsia"/>
        </w:rPr>
        <w:t>　　4.3.7　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应增加承包人的额外费用；因承包人原因形成指定分包条件的，承包人应承担指定分包所增加的费用。</w:t>
      </w:r>
    </w:p>
    <w:p w14:paraId="7E4F114A">
      <w:r>
        <w:rPr>
          <w:rFonts w:hint="eastAsia"/>
        </w:rPr>
        <w:t>　　由指定分包人造成的与其分包工作有关的一切索赔、诉讼和损失赔偿由指定分包人直接对发包人负责，承包人不对此承担责任。</w:t>
      </w:r>
    </w:p>
    <w:p w14:paraId="1F63EC1E">
      <w:r>
        <w:rPr>
          <w:rFonts w:hint="eastAsia"/>
        </w:rPr>
        <w:t>　　4.3.8　承包人和分包人应当签订分包合同，并履行合同约定的义务。分包合同必须遵循承包合同的各项原则，满足承包合同中相应条款的要求。发包人可以对分包合同实施情况进行监督检查。承包人应将分包合同副本提交发包人和监理人。</w:t>
      </w:r>
    </w:p>
    <w:p w14:paraId="55A00066">
      <w:r>
        <w:rPr>
          <w:rFonts w:hint="eastAsia"/>
        </w:rPr>
        <w:t>　　4.3.9　除第4.3.7项规定的指定分包外，承包人对其分包项目的实施以及分包人的行为向发包人负全部责任。承包人应对分包项目的工程进度、质量、安全、计量和验收等实施监督和管理。</w:t>
      </w:r>
    </w:p>
    <w:p w14:paraId="27F27883">
      <w:r>
        <w:rPr>
          <w:rFonts w:hint="eastAsia"/>
        </w:rPr>
        <w:t>　　4.3.10　分包人应按专用合同条款的约定设立项目管理机构组织管理分包工程的施工活动。</w:t>
      </w:r>
    </w:p>
    <w:p w14:paraId="155BA2DF">
      <w:r>
        <w:rPr>
          <w:rFonts w:hint="eastAsia"/>
        </w:rPr>
        <w:t>　4.11　不利物质条件</w:t>
      </w:r>
    </w:p>
    <w:p w14:paraId="5E3F878F">
      <w:r>
        <w:rPr>
          <w:rFonts w:hint="eastAsia"/>
        </w:rPr>
        <w:t>　　4.11.1　除专用合同条款另有约定外，不利物质条件是指在施工中遭遇不可预见的外界障碍或自然条件造成施工受阻。</w:t>
      </w:r>
    </w:p>
    <w:p w14:paraId="5A538A5F">
      <w:r>
        <w:rPr>
          <w:rFonts w:hint="eastAsia"/>
        </w:rPr>
        <w:t>　　4.11.2　承包人遇到不利物质条件时，应采取适应不利物质条件的合理措施继续施工，并及时通知监理人。承包人有权根据第23.1款的约定，要求延长工期及增加费用。监理人收到此类要求后，应在分析上述外界障碍或自然条件是否不可预见及不可预见程度的基础上，按照通用合同条款第15条的约定办理。</w:t>
      </w:r>
    </w:p>
    <w:p w14:paraId="7C27DF10">
      <w:pPr>
        <w:rPr>
          <w:b/>
        </w:rPr>
      </w:pPr>
      <w:bookmarkStart w:id="5" w:name="第04章合同条款及格式0105"/>
      <w:bookmarkEnd w:id="5"/>
      <w:r>
        <w:rPr>
          <w:rFonts w:hint="eastAsia"/>
          <w:b/>
        </w:rPr>
        <w:t>5　材料和工程设备</w:t>
      </w:r>
    </w:p>
    <w:p w14:paraId="570F3908">
      <w:r>
        <w:rPr>
          <w:rFonts w:hint="eastAsia"/>
        </w:rPr>
        <w:t>　　本条全文引用《标准施工招标文件》(2007年版)相应条款，并补充以下内容：</w:t>
      </w:r>
    </w:p>
    <w:p w14:paraId="76AB9C07">
      <w:r>
        <w:rPr>
          <w:rFonts w:hint="eastAsia"/>
        </w:rPr>
        <w:t>　5.1　承包人提供的材料和工程设备</w:t>
      </w:r>
    </w:p>
    <w:p w14:paraId="3B4C206E">
      <w:r>
        <w:rPr>
          <w:rFonts w:hint="eastAsia"/>
        </w:rPr>
        <w:t>　　5.1.1　除第5.2款约定由发包人提供的材料和工程设备外，承包人负责采购、运输和保管完成本合同工作所需的材料和工程设备。承包人应对其采购的材料和工程设备负责。</w:t>
      </w:r>
    </w:p>
    <w:p w14:paraId="17063796">
      <w:r>
        <w:rPr>
          <w:rFonts w:hint="eastAsia"/>
        </w:rPr>
        <w:t>　5.2　发包人提供的材料和工程设备</w:t>
      </w:r>
    </w:p>
    <w:p w14:paraId="3E51F392">
      <w:r>
        <w:rPr>
          <w:rFonts w:hint="eastAsia"/>
        </w:rPr>
        <w:t>　　5.2.3　发包人应在材料和工程设备到货7天前通知承包人，承包人应会同监理人在约定的时间内，赴交货地点共同进行验收。发包人提供的材料和工程设备运至交货地点验收后，由承包人负责接收、卸货、运输和保管。</w:t>
      </w:r>
    </w:p>
    <w:p w14:paraId="75246BE0">
      <w:pPr>
        <w:rPr>
          <w:b/>
        </w:rPr>
      </w:pPr>
      <w:bookmarkStart w:id="6" w:name="第04章合同条款及格式0106"/>
      <w:bookmarkEnd w:id="6"/>
      <w:r>
        <w:rPr>
          <w:rFonts w:hint="eastAsia"/>
          <w:b/>
        </w:rPr>
        <w:t>6　施工设备和临时设施</w:t>
      </w:r>
    </w:p>
    <w:p w14:paraId="5B1A1A46">
      <w:r>
        <w:rPr>
          <w:rFonts w:hint="eastAsia"/>
        </w:rPr>
        <w:t>　　本条全文引用《标准施工招标文件》(2007年版)相应条款。</w:t>
      </w:r>
    </w:p>
    <w:p w14:paraId="78BC958B">
      <w:pPr>
        <w:rPr>
          <w:b/>
        </w:rPr>
      </w:pPr>
      <w:bookmarkStart w:id="7" w:name="第04章合同条款及格式0107"/>
      <w:bookmarkEnd w:id="7"/>
      <w:r>
        <w:rPr>
          <w:rFonts w:hint="eastAsia"/>
          <w:b/>
        </w:rPr>
        <w:t>7　交通运输</w:t>
      </w:r>
    </w:p>
    <w:p w14:paraId="695C4854">
      <w:r>
        <w:rPr>
          <w:rFonts w:hint="eastAsia"/>
        </w:rPr>
        <w:t>　　本条全文引用《标准施工招标文件》(2007年版)相应条款，并补充以下内容：</w:t>
      </w:r>
    </w:p>
    <w:p w14:paraId="1901F381">
      <w:r>
        <w:rPr>
          <w:rFonts w:hint="eastAsia"/>
        </w:rPr>
        <w:t>　7.1　道路通行权和场外设施</w:t>
      </w:r>
    </w:p>
    <w:p w14:paraId="3403F8C5">
      <w:r>
        <w:rPr>
          <w:rFonts w:hint="eastAsia"/>
        </w:rPr>
        <w:t>　　除专用合同条款另有约定外，承包人应根据合同工程的施工需要，负责办理取得出入施工场地的专用和临时道路的通行权，以及取得为工程建设所需修建场外设施的权利，并承担相关费用。发包人应协助承包人办理上述手续。</w:t>
      </w:r>
    </w:p>
    <w:p w14:paraId="0350AE21">
      <w:r>
        <w:rPr>
          <w:rFonts w:hint="eastAsia"/>
        </w:rPr>
        <w:t>　7.2　场内施工道路</w:t>
      </w:r>
    </w:p>
    <w:p w14:paraId="77EA1F2F">
      <w:r>
        <w:rPr>
          <w:rFonts w:hint="eastAsia"/>
        </w:rPr>
        <w:t>　　7.2.1　除本合同约定由发包人提供的部分道路和交通设施外，承包人应负责修建、维修、养护和管理其施工所需的全部临时道路和交通设施(包括合同约定由发包人提供的部分道路和交通设施的维修、养护和管理)，并承担相应费用。</w:t>
      </w:r>
    </w:p>
    <w:p w14:paraId="3F28F081">
      <w:r>
        <w:rPr>
          <w:rFonts w:hint="eastAsia"/>
        </w:rPr>
        <w:t>　　7.2.2　承包人修建的临时道路和交通设施，应免费提供发包人、监理人以及与本合同有关的其他承包人使用。</w:t>
      </w:r>
    </w:p>
    <w:p w14:paraId="4B48EC79">
      <w:pPr>
        <w:rPr>
          <w:b/>
        </w:rPr>
      </w:pPr>
      <w:bookmarkStart w:id="8" w:name="第04章合同条款及格式0108"/>
      <w:bookmarkEnd w:id="8"/>
      <w:r>
        <w:rPr>
          <w:rFonts w:hint="eastAsia"/>
          <w:b/>
        </w:rPr>
        <w:t>8　测量放线</w:t>
      </w:r>
    </w:p>
    <w:p w14:paraId="61474C3A">
      <w:r>
        <w:rPr>
          <w:rFonts w:hint="eastAsia"/>
        </w:rPr>
        <w:t>　　本条全文引用《标准施工招标文件》(2007年版)相应条款，并补充以下内容：</w:t>
      </w:r>
    </w:p>
    <w:p w14:paraId="0D18A0AB">
      <w:r>
        <w:rPr>
          <w:rFonts w:hint="eastAsia"/>
        </w:rPr>
        <w:t>　8.1　施工控制网</w:t>
      </w:r>
    </w:p>
    <w:p w14:paraId="6D343B3F">
      <w:r>
        <w:rPr>
          <w:rFonts w:hint="eastAsia"/>
        </w:rPr>
        <w:t>　　8.1.1　除专用合同条款另有约定外，施工控制网由承包人负责测设，发包人应在本合同协议书签订后的14天内，向承包人提供测量基准点、基准线和水准点及其相关资料。承包人应在收到上述资料后的28天内，将施测的施工控制网资料提交监理人审批。监理人应在收到报批件后的14天内批复承包人。</w:t>
      </w:r>
    </w:p>
    <w:p w14:paraId="17AD369A">
      <w:r>
        <w:rPr>
          <w:rFonts w:hint="eastAsia"/>
        </w:rPr>
        <w:t>　8.5　补充地质勘探</w:t>
      </w:r>
    </w:p>
    <w:p w14:paraId="52657D91">
      <w:r>
        <w:rPr>
          <w:rFonts w:hint="eastAsia"/>
        </w:rPr>
        <w:t>　　在合同实施期间，监理人可以指示承包人进行必要的补充地质勘探并提供有关资料。承包人为本合同永久工程施工的需要进行补充地质勘探时，须经监理人批准，并应向监理人提交有关资料，上述补充勘探的费用由发包人承担。承包人为其临时工程设计及施工的需要进行的补充地质勘探，其费用由承包人承担。</w:t>
      </w:r>
    </w:p>
    <w:p w14:paraId="19D40217">
      <w:pPr>
        <w:rPr>
          <w:b/>
        </w:rPr>
      </w:pPr>
      <w:bookmarkStart w:id="9" w:name="第04章合同条款及格式0109"/>
      <w:bookmarkEnd w:id="9"/>
      <w:r>
        <w:rPr>
          <w:rFonts w:hint="eastAsia"/>
          <w:b/>
        </w:rPr>
        <w:t>9　施工安全、治安保卫和环境保护</w:t>
      </w:r>
    </w:p>
    <w:p w14:paraId="372F6131">
      <w:r>
        <w:rPr>
          <w:rFonts w:hint="eastAsia"/>
        </w:rPr>
        <w:t>　　本条全文引用《标准施工招标文件》(2007年版)相应条款，并补充以下内容：</w:t>
      </w:r>
    </w:p>
    <w:p w14:paraId="2716C5FA">
      <w:r>
        <w:rPr>
          <w:rFonts w:hint="eastAsia"/>
        </w:rPr>
        <w:t>　9.1　发包人的施工安全责任</w:t>
      </w:r>
    </w:p>
    <w:p w14:paraId="3CCCB46B">
      <w:r>
        <w:rPr>
          <w:rFonts w:hint="eastAsia"/>
        </w:rPr>
        <w:t>　　9.1.1　发包人应按合同约定履行安全职责。发包人委托监理人根据国家有关安全的法律、法规、强制性标准以及部门规章，对承包人的安全责任履行情况进行监督和检查。监理人的监督检查不减轻承包人应负的安全责任。</w:t>
      </w:r>
    </w:p>
    <w:p w14:paraId="68EF0B9B">
      <w:r>
        <w:rPr>
          <w:rFonts w:hint="eastAsia"/>
        </w:rPr>
        <w:t>　　9.1.4　除专用合同条款另有约定外，发包人负责向承包人提供施工现场及施工可能影响的毗邻区域内供水、排水、供电、供气、供热、通信、广播电视等地下管线资料，气象和水文观测资料，拟建工程可能影响的相邻建筑物地下工程的有关资料，并保证有关资料的真实、准确、完整，满足有关技术规程的要求。</w:t>
      </w:r>
    </w:p>
    <w:p w14:paraId="1E8E555A">
      <w:r>
        <w:rPr>
          <w:rFonts w:hint="eastAsia"/>
        </w:rPr>
        <w:t>　　9.1.5　发包人按照已标价工程量清单所列金额和合同约定的计量支付规定，支付安全作业环境及安全施工措施所需费用。</w:t>
      </w:r>
    </w:p>
    <w:p w14:paraId="4548953B">
      <w:r>
        <w:rPr>
          <w:rFonts w:hint="eastAsia"/>
        </w:rPr>
        <w:t>　　9.1.6　发包人负责组织工程参建单位编制保证安全生产的措施方案。工程开工前，就落实保证安全生产的措施进行全面系统的布置，进一步明确承包人的安全生产责任。</w:t>
      </w:r>
    </w:p>
    <w:p w14:paraId="0C1FE783">
      <w:r>
        <w:rPr>
          <w:rFonts w:hint="eastAsia"/>
        </w:rPr>
        <w:t>　　9.1.7　发包人负责在拆除工程和爆破工程施工14天前向有关部门或机构报送相关备案资料。</w:t>
      </w:r>
    </w:p>
    <w:p w14:paraId="2D48ADD1">
      <w:r>
        <w:rPr>
          <w:rFonts w:hint="eastAsia"/>
        </w:rPr>
        <w:t>　9.2　承包人的施工安全责任</w:t>
      </w:r>
    </w:p>
    <w:p w14:paraId="20B253EF">
      <w:r>
        <w:rPr>
          <w:rFonts w:hint="eastAsia"/>
        </w:rPr>
        <w:t>　　9.2.1　承包人应按合同约定履行安全职责，执行监理人有关安全工作的指示。承包人应按技术标准和要求(合同技术条款)约定的内容和期限，以及监理人的指示，编制施工安全技术措施提交监理人审批。监理人应在技术标准和要求(合同技术条款)约定的期限内批复承包人。</w:t>
      </w:r>
    </w:p>
    <w:p w14:paraId="5F256CAB">
      <w:r>
        <w:rPr>
          <w:rFonts w:hint="eastAsia"/>
        </w:rPr>
        <w:t>　　9.2.8　承包人已标价工程量清单应包含工程安全作业环境及安全施工措施所需费用。</w:t>
      </w:r>
    </w:p>
    <w:p w14:paraId="0C6818AE">
      <w:r>
        <w:rPr>
          <w:rFonts w:hint="eastAsia"/>
        </w:rPr>
        <w:t>　　9.2.9　承包人应建立健全安全生产责任制度和安全生产教育培训制度，制定安全生产规章制度和操作规程，保证本单位建立和完善安全生产条件所需资金的投入，对本工程进行定期和专项安全检查，并做好安全检查记录。</w:t>
      </w:r>
    </w:p>
    <w:p w14:paraId="6411D16C">
      <w:r>
        <w:rPr>
          <w:rFonts w:hint="eastAsia"/>
        </w:rPr>
        <w:t>　　9.2.10　承包人应设立安全生产管理机构，施工现场应有专职安全生产管理人员。</w:t>
      </w:r>
    </w:p>
    <w:p w14:paraId="142CB3F2">
      <w:r>
        <w:rPr>
          <w:rFonts w:hint="eastAsia"/>
        </w:rPr>
        <w:t>　　9.2.11　承包人应负责对特种作业人员进行专门的安全作业培训，并保证特种作业人员持证上岗。</w:t>
      </w:r>
    </w:p>
    <w:p w14:paraId="128FBBB8">
      <w:r>
        <w:rPr>
          <w:rFonts w:hint="eastAsia"/>
        </w:rPr>
        <w:t>　　9.2.12　承包人应在施工组织设计中编制安全技术措施和施工现场临时用电方案。对专用合同条款约定的工程，应编制专项施工方案报监理人批准。对专用合同条款约定的专项施工方案，还应组织专家进行论证、审查，其中专家1/2人员应经发包人同意。</w:t>
      </w:r>
    </w:p>
    <w:p w14:paraId="5CB96FDB">
      <w:r>
        <w:rPr>
          <w:rFonts w:hint="eastAsia"/>
        </w:rPr>
        <w:t>　　9.2.13　承包人在使用施工起重机械和整体提升脚手架、模板等自升式架设设施前，应组织有关单位进行验收。</w:t>
      </w:r>
    </w:p>
    <w:p w14:paraId="359683FA">
      <w:r>
        <w:rPr>
          <w:rFonts w:hint="eastAsia"/>
        </w:rPr>
        <w:t>　9.5　事故处理</w:t>
      </w:r>
    </w:p>
    <w:p w14:paraId="1573C61A">
      <w:r>
        <w:rPr>
          <w:rFonts w:hint="eastAsia"/>
        </w:rPr>
        <w:t>　　9.5.1　发包人负责组织参建单位制定本工程的质量与安全事故应急预案，建立质量与安全事故应急处置指挥部。</w:t>
      </w:r>
    </w:p>
    <w:p w14:paraId="21EC79B1">
      <w:r>
        <w:rPr>
          <w:rFonts w:hint="eastAsia"/>
        </w:rPr>
        <w:t>　　9.5.2　承包人应对施工现场易发生重大事故的部位、环节进行监控，配备救援器材、设备，并定期组织演练。</w:t>
      </w:r>
    </w:p>
    <w:p w14:paraId="17374809">
      <w:r>
        <w:rPr>
          <w:rFonts w:hint="eastAsia"/>
        </w:rPr>
        <w:t>　　9.5.3　工程开工前，承包人应根据本工程的特点制定施工现场施工质量与安全事故应急预案，并报发包人备案。</w:t>
      </w:r>
    </w:p>
    <w:p w14:paraId="187C424C">
      <w:r>
        <w:rPr>
          <w:rFonts w:hint="eastAsia"/>
        </w:rPr>
        <w:t>　　9.5.4　施工过程中发生事故时，发包人、承包人应立即启动应急预案。</w:t>
      </w:r>
    </w:p>
    <w:p w14:paraId="59B32DE7">
      <w:r>
        <w:rPr>
          <w:rFonts w:hint="eastAsia"/>
        </w:rPr>
        <w:t>　　9.5.5　事故调查处理由发包人按相关规定履行手续，承包人应配合。</w:t>
      </w:r>
    </w:p>
    <w:p w14:paraId="06A103E7">
      <w:r>
        <w:rPr>
          <w:rFonts w:hint="eastAsia"/>
        </w:rPr>
        <w:t>　9.6　水土保持</w:t>
      </w:r>
    </w:p>
    <w:p w14:paraId="4F6D43C2">
      <w:r>
        <w:rPr>
          <w:rFonts w:hint="eastAsia"/>
        </w:rPr>
        <w:t>　　9.6.1　发包人应及时向承包人提供水土保持方案。</w:t>
      </w:r>
    </w:p>
    <w:p w14:paraId="3B7CB600">
      <w:r>
        <w:rPr>
          <w:rFonts w:hint="eastAsia"/>
        </w:rPr>
        <w:t>　　9.6.2　承包人在施工过程中，应遵守有关水土保持的法律法规和规章，履行合同约定的水土保持义务，并对其违反法律和合同约定义务所造成的水土流失灾害、人身伤害和财产损失负责。</w:t>
      </w:r>
    </w:p>
    <w:p w14:paraId="1443DBED">
      <w:r>
        <w:rPr>
          <w:rFonts w:hint="eastAsia"/>
        </w:rPr>
        <w:t>　　9.6.3　承包人的水土保持措施计划，应满足技术标准和要求(合同技术条款)约定的要求。</w:t>
      </w:r>
    </w:p>
    <w:p w14:paraId="506012B8">
      <w:r>
        <w:rPr>
          <w:rFonts w:hint="eastAsia"/>
        </w:rPr>
        <w:t>　9.7　文明工地</w:t>
      </w:r>
    </w:p>
    <w:p w14:paraId="1F6278AB">
      <w:r>
        <w:rPr>
          <w:rFonts w:hint="eastAsia"/>
        </w:rPr>
        <w:t>　　9.7.1　发包人应按专用合同条款的约定，负责建立创建文明建设工地的组织机构，制定创建文明建设工地的规划和办法。</w:t>
      </w:r>
    </w:p>
    <w:p w14:paraId="125D81F3">
      <w:r>
        <w:rPr>
          <w:rFonts w:hint="eastAsia"/>
        </w:rPr>
        <w:t>　　9.7.2　承包人应按创建文明建设工地的规划和办法，履行职责，承担相应责任。所需费用应含在已标价工程量清单中。</w:t>
      </w:r>
    </w:p>
    <w:p w14:paraId="1EA1CC8E">
      <w:r>
        <w:rPr>
          <w:rFonts w:hint="eastAsia"/>
        </w:rPr>
        <w:t>　9.8　防汛度汛</w:t>
      </w:r>
    </w:p>
    <w:p w14:paraId="157880DD">
      <w:r>
        <w:rPr>
          <w:rFonts w:hint="eastAsia"/>
        </w:rPr>
        <w:t>　　9.8.1　发包人负责组织工程参建单位编制本工程的度汛方案和措施。</w:t>
      </w:r>
    </w:p>
    <w:p w14:paraId="3074D3B2">
      <w:r>
        <w:rPr>
          <w:rFonts w:hint="eastAsia"/>
        </w:rPr>
        <w:t>　　9.8.2　承包人应根据发包人编制的本工程度汛方案和措施，制定相应的度汛方案，报发包人批准后实施。</w:t>
      </w:r>
    </w:p>
    <w:p w14:paraId="40EFB287">
      <w:pPr>
        <w:rPr>
          <w:b/>
        </w:rPr>
      </w:pPr>
      <w:bookmarkStart w:id="10" w:name="第04章合同条款及格式0110"/>
      <w:bookmarkEnd w:id="10"/>
      <w:r>
        <w:rPr>
          <w:rFonts w:hint="eastAsia"/>
          <w:b/>
        </w:rPr>
        <w:t>10　进度计划</w:t>
      </w:r>
    </w:p>
    <w:p w14:paraId="7C3C9A70">
      <w:r>
        <w:rPr>
          <w:rFonts w:hint="eastAsia"/>
        </w:rPr>
        <w:t>　　本条全文引用《标准施工招标文件》(2007年版)相应条款，并补充以下内容：</w:t>
      </w:r>
    </w:p>
    <w:p w14:paraId="1D44387B">
      <w:r>
        <w:rPr>
          <w:rFonts w:hint="eastAsia"/>
        </w:rPr>
        <w:t>　10.1　合同进度计划</w:t>
      </w:r>
    </w:p>
    <w:p w14:paraId="5C7B17B6">
      <w:r>
        <w:rPr>
          <w:rFonts w:hint="eastAsia"/>
        </w:rPr>
        <w:t>　　承包人应按技术标准和要求(合同技术条款)约定的内容和期限以及监理人的指示，编制详细的施工总进度计划及其说明提交监理人审批。监理人应在技术标准和要求(合同技术条款)约定的期限内批复承包人，否则该进度计划视为已得到批准。经监理人批准的施工进度计划称为合同进度计划，是控制合同工程进度的依据。承包人还应根据合同进度计划，编制更为详细的分阶段或单位工程或分部工程进度计划，报监理人审批。</w:t>
      </w:r>
    </w:p>
    <w:p w14:paraId="03BFD86E">
      <w:r>
        <w:rPr>
          <w:rFonts w:hint="eastAsia"/>
        </w:rPr>
        <w:t>　10.2　合同进度计划的修订</w:t>
      </w:r>
    </w:p>
    <w:p w14:paraId="32B374AF">
      <w:r>
        <w:rPr>
          <w:rFonts w:hint="eastAsia"/>
        </w:rPr>
        <w:t>　　不论何种原因造成工程的实际进度与第10.1款的合同进度计划不符时，承包人均应在14天内向监理人提交修订合同进度计划的申请报告，并附有关措施和相关资料，报监理人审批，监理人应在收到申请报告后的14天内批复。当监理人认为需要修订合同进度计划时，承包人应按监理人的指示，在14天内向监理人提交修订的合同进度计划，并附调整计划的相关资料，提交监理人审批。监理人应在收到进度计划后的14天内批复。</w:t>
      </w:r>
    </w:p>
    <w:p w14:paraId="7A9FF983">
      <w:r>
        <w:rPr>
          <w:rFonts w:hint="eastAsia"/>
        </w:rPr>
        <w:t>　　不论何种原因造成施工进度延迟，承包人均应按监理人的指示，采取有效措施赶上进度。承包人应在向监理人提交修订合同进度计划的同时，编制一份赶工措施报告提交监理人审批。由于发包人原因造成施工进度延迟，应按第11.3款的约定办理；由于承包人原因造成施工进度延迟，应按第11.5款的约定办理。</w:t>
      </w:r>
    </w:p>
    <w:p w14:paraId="463EDA50">
      <w:r>
        <w:rPr>
          <w:rFonts w:hint="eastAsia"/>
        </w:rPr>
        <w:t>　10.3　单位工程进度计划</w:t>
      </w:r>
    </w:p>
    <w:p w14:paraId="04D8922B">
      <w:r>
        <w:rPr>
          <w:rFonts w:hint="eastAsia"/>
        </w:rPr>
        <w:t>　　监理人认为有必要时，承包人应按监理人指示的内容和期限，并根据合同进度计划的进度控制要求，编制单位工程进度计划，提交监理人审批。</w:t>
      </w:r>
    </w:p>
    <w:p w14:paraId="59C9B29B">
      <w:r>
        <w:rPr>
          <w:rFonts w:hint="eastAsia"/>
        </w:rPr>
        <w:t>　10.4　提交资金流估算表</w:t>
      </w:r>
    </w:p>
    <w:p w14:paraId="13D3CB56">
      <w:pPr>
        <w:rPr>
          <w:rFonts w:hint="eastAsia"/>
        </w:rPr>
      </w:pPr>
      <w:r>
        <w:rPr>
          <w:rFonts w:hint="eastAsia"/>
        </w:rPr>
        <w:t>　　承包人应在按第10.1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w:t>
      </w:r>
    </w:p>
    <w:p w14:paraId="2496E7E3"/>
    <w:p w14:paraId="302C98FB">
      <w:pPr>
        <w:jc w:val="center"/>
        <w:rPr>
          <w:rFonts w:hint="eastAsia"/>
          <w:b/>
        </w:rPr>
      </w:pPr>
      <w:r>
        <w:rPr>
          <w:rFonts w:hint="eastAsia"/>
          <w:b/>
        </w:rPr>
        <w:t>资金流估算表(参考格式)</w:t>
      </w:r>
    </w:p>
    <w:p w14:paraId="6E5794C8">
      <w:pPr>
        <w:jc w:val="right"/>
      </w:pPr>
      <w:r>
        <w:rPr>
          <w:rFonts w:hint="eastAsia"/>
        </w:rPr>
        <w:t>金额单位</w:t>
      </w:r>
    </w:p>
    <w:tbl>
      <w:tblPr>
        <w:tblStyle w:val="2"/>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6"/>
        <w:gridCol w:w="426"/>
        <w:gridCol w:w="913"/>
        <w:gridCol w:w="1159"/>
        <w:gridCol w:w="1304"/>
        <w:gridCol w:w="865"/>
        <w:gridCol w:w="865"/>
        <w:gridCol w:w="749"/>
        <w:gridCol w:w="792"/>
        <w:gridCol w:w="915"/>
      </w:tblGrid>
      <w:tr w14:paraId="499802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26" w:type="dxa"/>
            <w:noWrap w:val="0"/>
            <w:vAlign w:val="center"/>
          </w:tcPr>
          <w:p w14:paraId="77B61737">
            <w:pPr>
              <w:jc w:val="center"/>
              <w:rPr>
                <w:rFonts w:hint="eastAsia"/>
              </w:rPr>
            </w:pPr>
            <w:r>
              <w:rPr>
                <w:rFonts w:hint="eastAsia"/>
              </w:rPr>
              <w:t>年</w:t>
            </w:r>
          </w:p>
        </w:tc>
        <w:tc>
          <w:tcPr>
            <w:tcW w:w="426" w:type="dxa"/>
            <w:noWrap w:val="0"/>
            <w:vAlign w:val="center"/>
          </w:tcPr>
          <w:p w14:paraId="280D1E57">
            <w:pPr>
              <w:jc w:val="center"/>
              <w:rPr>
                <w:rFonts w:hint="eastAsia"/>
              </w:rPr>
            </w:pPr>
            <w:r>
              <w:rPr>
                <w:rFonts w:hint="eastAsia"/>
              </w:rPr>
              <w:t>月</w:t>
            </w:r>
          </w:p>
        </w:tc>
        <w:tc>
          <w:tcPr>
            <w:tcW w:w="991" w:type="dxa"/>
            <w:noWrap w:val="0"/>
            <w:vAlign w:val="center"/>
          </w:tcPr>
          <w:p w14:paraId="63E6FFA7">
            <w:pPr>
              <w:jc w:val="center"/>
              <w:rPr>
                <w:rFonts w:hint="eastAsia"/>
              </w:rPr>
            </w:pPr>
            <w:r>
              <w:rPr>
                <w:rFonts w:hint="eastAsia"/>
              </w:rPr>
              <w:t>工程</w:t>
            </w:r>
          </w:p>
          <w:p w14:paraId="2443EEFB">
            <w:pPr>
              <w:jc w:val="center"/>
              <w:rPr>
                <w:rFonts w:hint="eastAsia"/>
              </w:rPr>
            </w:pPr>
            <w:r>
              <w:rPr>
                <w:rFonts w:hint="eastAsia"/>
              </w:rPr>
              <w:t>预付款</w:t>
            </w:r>
          </w:p>
        </w:tc>
        <w:tc>
          <w:tcPr>
            <w:tcW w:w="1276" w:type="dxa"/>
            <w:noWrap w:val="0"/>
            <w:vAlign w:val="center"/>
          </w:tcPr>
          <w:p w14:paraId="639BCA63">
            <w:pPr>
              <w:jc w:val="center"/>
              <w:rPr>
                <w:rFonts w:hint="eastAsia"/>
              </w:rPr>
            </w:pPr>
            <w:r>
              <w:rPr>
                <w:rFonts w:hint="eastAsia"/>
              </w:rPr>
              <w:t>完成工作量付款</w:t>
            </w:r>
          </w:p>
        </w:tc>
        <w:tc>
          <w:tcPr>
            <w:tcW w:w="1443" w:type="dxa"/>
            <w:noWrap w:val="0"/>
            <w:vAlign w:val="center"/>
          </w:tcPr>
          <w:p w14:paraId="29CFB97D">
            <w:pPr>
              <w:jc w:val="center"/>
              <w:rPr>
                <w:rFonts w:hint="eastAsia"/>
              </w:rPr>
            </w:pPr>
            <w:r>
              <w:rPr>
                <w:rFonts w:hint="eastAsia"/>
              </w:rPr>
              <w:t>质量保证金扣留</w:t>
            </w:r>
          </w:p>
        </w:tc>
        <w:tc>
          <w:tcPr>
            <w:tcW w:w="934" w:type="dxa"/>
            <w:noWrap w:val="0"/>
            <w:vAlign w:val="center"/>
          </w:tcPr>
          <w:p w14:paraId="3C8871DE">
            <w:pPr>
              <w:jc w:val="center"/>
              <w:rPr>
                <w:rFonts w:hint="eastAsia"/>
              </w:rPr>
            </w:pPr>
            <w:r>
              <w:rPr>
                <w:rFonts w:hint="eastAsia"/>
              </w:rPr>
              <w:t>材料款扣除</w:t>
            </w:r>
          </w:p>
        </w:tc>
        <w:tc>
          <w:tcPr>
            <w:tcW w:w="934" w:type="dxa"/>
            <w:noWrap w:val="0"/>
            <w:vAlign w:val="center"/>
          </w:tcPr>
          <w:p w14:paraId="548D73B9">
            <w:pPr>
              <w:jc w:val="center"/>
              <w:rPr>
                <w:rFonts w:hint="eastAsia"/>
              </w:rPr>
            </w:pPr>
            <w:r>
              <w:rPr>
                <w:rFonts w:hint="eastAsia"/>
              </w:rPr>
              <w:t>预付款扣还</w:t>
            </w:r>
          </w:p>
        </w:tc>
        <w:tc>
          <w:tcPr>
            <w:tcW w:w="800" w:type="dxa"/>
            <w:noWrap w:val="0"/>
            <w:vAlign w:val="center"/>
          </w:tcPr>
          <w:p w14:paraId="27429E07">
            <w:pPr>
              <w:jc w:val="center"/>
              <w:rPr>
                <w:rFonts w:hint="eastAsia"/>
              </w:rPr>
            </w:pPr>
            <w:r>
              <w:rPr>
                <w:rFonts w:hint="eastAsia"/>
              </w:rPr>
              <w:t>其它</w:t>
            </w:r>
          </w:p>
        </w:tc>
        <w:tc>
          <w:tcPr>
            <w:tcW w:w="850" w:type="dxa"/>
            <w:noWrap w:val="0"/>
            <w:vAlign w:val="center"/>
          </w:tcPr>
          <w:p w14:paraId="4F2A2D19">
            <w:pPr>
              <w:jc w:val="center"/>
              <w:rPr>
                <w:rFonts w:hint="eastAsia"/>
              </w:rPr>
            </w:pPr>
            <w:r>
              <w:rPr>
                <w:rFonts w:hint="eastAsia"/>
              </w:rPr>
              <w:t>应收款</w:t>
            </w:r>
          </w:p>
        </w:tc>
        <w:tc>
          <w:tcPr>
            <w:tcW w:w="992" w:type="dxa"/>
            <w:noWrap w:val="0"/>
            <w:vAlign w:val="center"/>
          </w:tcPr>
          <w:p w14:paraId="4B6F72D2">
            <w:pPr>
              <w:jc w:val="center"/>
              <w:rPr>
                <w:rFonts w:hint="eastAsia"/>
              </w:rPr>
            </w:pPr>
            <w:r>
              <w:rPr>
                <w:rFonts w:hint="eastAsia"/>
              </w:rPr>
              <w:t>累计</w:t>
            </w:r>
          </w:p>
          <w:p w14:paraId="20365350">
            <w:pPr>
              <w:jc w:val="center"/>
            </w:pPr>
            <w:r>
              <w:rPr>
                <w:rFonts w:hint="eastAsia"/>
              </w:rPr>
              <w:t>应收款</w:t>
            </w:r>
          </w:p>
        </w:tc>
      </w:tr>
      <w:tr w14:paraId="31750E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6" w:type="dxa"/>
            <w:noWrap w:val="0"/>
            <w:vAlign w:val="center"/>
          </w:tcPr>
          <w:p w14:paraId="7FD5B392">
            <w:pPr>
              <w:jc w:val="center"/>
              <w:rPr>
                <w:rFonts w:hint="eastAsia"/>
              </w:rPr>
            </w:pPr>
          </w:p>
        </w:tc>
        <w:tc>
          <w:tcPr>
            <w:tcW w:w="426" w:type="dxa"/>
            <w:noWrap w:val="0"/>
            <w:vAlign w:val="center"/>
          </w:tcPr>
          <w:p w14:paraId="737E7020">
            <w:pPr>
              <w:jc w:val="center"/>
              <w:rPr>
                <w:rFonts w:hint="eastAsia"/>
              </w:rPr>
            </w:pPr>
          </w:p>
        </w:tc>
        <w:tc>
          <w:tcPr>
            <w:tcW w:w="991" w:type="dxa"/>
            <w:noWrap w:val="0"/>
            <w:vAlign w:val="center"/>
          </w:tcPr>
          <w:p w14:paraId="58207BE1">
            <w:pPr>
              <w:jc w:val="center"/>
              <w:rPr>
                <w:rFonts w:hint="eastAsia"/>
              </w:rPr>
            </w:pPr>
          </w:p>
        </w:tc>
        <w:tc>
          <w:tcPr>
            <w:tcW w:w="1276" w:type="dxa"/>
            <w:noWrap w:val="0"/>
            <w:vAlign w:val="center"/>
          </w:tcPr>
          <w:p w14:paraId="360E6ED7">
            <w:pPr>
              <w:jc w:val="center"/>
              <w:rPr>
                <w:rFonts w:hint="eastAsia"/>
              </w:rPr>
            </w:pPr>
          </w:p>
        </w:tc>
        <w:tc>
          <w:tcPr>
            <w:tcW w:w="1443" w:type="dxa"/>
            <w:noWrap w:val="0"/>
            <w:vAlign w:val="center"/>
          </w:tcPr>
          <w:p w14:paraId="08CAB8AB">
            <w:pPr>
              <w:jc w:val="center"/>
              <w:rPr>
                <w:rFonts w:hint="eastAsia"/>
              </w:rPr>
            </w:pPr>
          </w:p>
        </w:tc>
        <w:tc>
          <w:tcPr>
            <w:tcW w:w="934" w:type="dxa"/>
            <w:noWrap w:val="0"/>
            <w:vAlign w:val="center"/>
          </w:tcPr>
          <w:p w14:paraId="4C3B02F7">
            <w:pPr>
              <w:jc w:val="center"/>
              <w:rPr>
                <w:rFonts w:hint="eastAsia"/>
              </w:rPr>
            </w:pPr>
          </w:p>
        </w:tc>
        <w:tc>
          <w:tcPr>
            <w:tcW w:w="934" w:type="dxa"/>
            <w:noWrap w:val="0"/>
            <w:vAlign w:val="center"/>
          </w:tcPr>
          <w:p w14:paraId="1250C7CC">
            <w:pPr>
              <w:jc w:val="center"/>
              <w:rPr>
                <w:rFonts w:hint="eastAsia"/>
              </w:rPr>
            </w:pPr>
          </w:p>
        </w:tc>
        <w:tc>
          <w:tcPr>
            <w:tcW w:w="800" w:type="dxa"/>
            <w:noWrap w:val="0"/>
            <w:vAlign w:val="center"/>
          </w:tcPr>
          <w:p w14:paraId="4CB2D5A0">
            <w:pPr>
              <w:jc w:val="center"/>
              <w:rPr>
                <w:rFonts w:hint="eastAsia"/>
              </w:rPr>
            </w:pPr>
          </w:p>
        </w:tc>
        <w:tc>
          <w:tcPr>
            <w:tcW w:w="850" w:type="dxa"/>
            <w:noWrap w:val="0"/>
            <w:vAlign w:val="center"/>
          </w:tcPr>
          <w:p w14:paraId="5833A586">
            <w:pPr>
              <w:jc w:val="center"/>
              <w:rPr>
                <w:rFonts w:hint="eastAsia"/>
              </w:rPr>
            </w:pPr>
          </w:p>
        </w:tc>
        <w:tc>
          <w:tcPr>
            <w:tcW w:w="992" w:type="dxa"/>
            <w:noWrap w:val="0"/>
            <w:vAlign w:val="center"/>
          </w:tcPr>
          <w:p w14:paraId="0D8D5719">
            <w:pPr>
              <w:jc w:val="center"/>
              <w:rPr>
                <w:rFonts w:hint="eastAsia"/>
              </w:rPr>
            </w:pPr>
          </w:p>
        </w:tc>
      </w:tr>
      <w:tr w14:paraId="00E2AE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6" w:type="dxa"/>
            <w:noWrap w:val="0"/>
            <w:vAlign w:val="center"/>
          </w:tcPr>
          <w:p w14:paraId="7567E129">
            <w:pPr>
              <w:jc w:val="center"/>
              <w:rPr>
                <w:rFonts w:hint="eastAsia"/>
              </w:rPr>
            </w:pPr>
          </w:p>
        </w:tc>
        <w:tc>
          <w:tcPr>
            <w:tcW w:w="426" w:type="dxa"/>
            <w:noWrap w:val="0"/>
            <w:vAlign w:val="center"/>
          </w:tcPr>
          <w:p w14:paraId="7D637CBC">
            <w:pPr>
              <w:jc w:val="center"/>
              <w:rPr>
                <w:rFonts w:hint="eastAsia"/>
              </w:rPr>
            </w:pPr>
          </w:p>
        </w:tc>
        <w:tc>
          <w:tcPr>
            <w:tcW w:w="991" w:type="dxa"/>
            <w:noWrap w:val="0"/>
            <w:vAlign w:val="center"/>
          </w:tcPr>
          <w:p w14:paraId="6C0DF7D7">
            <w:pPr>
              <w:jc w:val="center"/>
              <w:rPr>
                <w:rFonts w:hint="eastAsia"/>
              </w:rPr>
            </w:pPr>
          </w:p>
        </w:tc>
        <w:tc>
          <w:tcPr>
            <w:tcW w:w="1276" w:type="dxa"/>
            <w:noWrap w:val="0"/>
            <w:vAlign w:val="center"/>
          </w:tcPr>
          <w:p w14:paraId="6E6B48F4">
            <w:pPr>
              <w:jc w:val="center"/>
              <w:rPr>
                <w:rFonts w:hint="eastAsia"/>
              </w:rPr>
            </w:pPr>
          </w:p>
        </w:tc>
        <w:tc>
          <w:tcPr>
            <w:tcW w:w="1443" w:type="dxa"/>
            <w:noWrap w:val="0"/>
            <w:vAlign w:val="center"/>
          </w:tcPr>
          <w:p w14:paraId="03C22D5B">
            <w:pPr>
              <w:jc w:val="center"/>
              <w:rPr>
                <w:rFonts w:hint="eastAsia"/>
              </w:rPr>
            </w:pPr>
          </w:p>
        </w:tc>
        <w:tc>
          <w:tcPr>
            <w:tcW w:w="934" w:type="dxa"/>
            <w:noWrap w:val="0"/>
            <w:vAlign w:val="center"/>
          </w:tcPr>
          <w:p w14:paraId="2A30922B">
            <w:pPr>
              <w:jc w:val="center"/>
              <w:rPr>
                <w:rFonts w:hint="eastAsia"/>
              </w:rPr>
            </w:pPr>
          </w:p>
        </w:tc>
        <w:tc>
          <w:tcPr>
            <w:tcW w:w="934" w:type="dxa"/>
            <w:noWrap w:val="0"/>
            <w:vAlign w:val="center"/>
          </w:tcPr>
          <w:p w14:paraId="523EE85F">
            <w:pPr>
              <w:jc w:val="center"/>
              <w:rPr>
                <w:rFonts w:hint="eastAsia"/>
              </w:rPr>
            </w:pPr>
          </w:p>
        </w:tc>
        <w:tc>
          <w:tcPr>
            <w:tcW w:w="800" w:type="dxa"/>
            <w:noWrap w:val="0"/>
            <w:vAlign w:val="center"/>
          </w:tcPr>
          <w:p w14:paraId="78403246">
            <w:pPr>
              <w:jc w:val="center"/>
              <w:rPr>
                <w:rFonts w:hint="eastAsia"/>
              </w:rPr>
            </w:pPr>
          </w:p>
        </w:tc>
        <w:tc>
          <w:tcPr>
            <w:tcW w:w="850" w:type="dxa"/>
            <w:noWrap w:val="0"/>
            <w:vAlign w:val="center"/>
          </w:tcPr>
          <w:p w14:paraId="0A7B7659">
            <w:pPr>
              <w:jc w:val="center"/>
              <w:rPr>
                <w:rFonts w:hint="eastAsia"/>
              </w:rPr>
            </w:pPr>
          </w:p>
        </w:tc>
        <w:tc>
          <w:tcPr>
            <w:tcW w:w="992" w:type="dxa"/>
            <w:noWrap w:val="0"/>
            <w:vAlign w:val="center"/>
          </w:tcPr>
          <w:p w14:paraId="73133BE9">
            <w:pPr>
              <w:jc w:val="center"/>
              <w:rPr>
                <w:rFonts w:hint="eastAsia"/>
              </w:rPr>
            </w:pPr>
          </w:p>
        </w:tc>
      </w:tr>
      <w:tr w14:paraId="180AC2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6" w:type="dxa"/>
            <w:noWrap w:val="0"/>
            <w:vAlign w:val="center"/>
          </w:tcPr>
          <w:p w14:paraId="14C5AC56">
            <w:pPr>
              <w:jc w:val="center"/>
              <w:rPr>
                <w:rFonts w:hint="eastAsia"/>
              </w:rPr>
            </w:pPr>
          </w:p>
        </w:tc>
        <w:tc>
          <w:tcPr>
            <w:tcW w:w="426" w:type="dxa"/>
            <w:noWrap w:val="0"/>
            <w:vAlign w:val="center"/>
          </w:tcPr>
          <w:p w14:paraId="257659ED">
            <w:pPr>
              <w:jc w:val="center"/>
              <w:rPr>
                <w:rFonts w:hint="eastAsia"/>
              </w:rPr>
            </w:pPr>
          </w:p>
        </w:tc>
        <w:tc>
          <w:tcPr>
            <w:tcW w:w="991" w:type="dxa"/>
            <w:noWrap w:val="0"/>
            <w:vAlign w:val="center"/>
          </w:tcPr>
          <w:p w14:paraId="4F85BB8F">
            <w:pPr>
              <w:jc w:val="center"/>
              <w:rPr>
                <w:rFonts w:hint="eastAsia"/>
              </w:rPr>
            </w:pPr>
          </w:p>
        </w:tc>
        <w:tc>
          <w:tcPr>
            <w:tcW w:w="1276" w:type="dxa"/>
            <w:noWrap w:val="0"/>
            <w:vAlign w:val="center"/>
          </w:tcPr>
          <w:p w14:paraId="3090C6FC">
            <w:pPr>
              <w:jc w:val="center"/>
              <w:rPr>
                <w:rFonts w:hint="eastAsia"/>
              </w:rPr>
            </w:pPr>
          </w:p>
        </w:tc>
        <w:tc>
          <w:tcPr>
            <w:tcW w:w="1443" w:type="dxa"/>
            <w:noWrap w:val="0"/>
            <w:vAlign w:val="center"/>
          </w:tcPr>
          <w:p w14:paraId="05BCA225">
            <w:pPr>
              <w:jc w:val="center"/>
              <w:rPr>
                <w:rFonts w:hint="eastAsia"/>
              </w:rPr>
            </w:pPr>
          </w:p>
        </w:tc>
        <w:tc>
          <w:tcPr>
            <w:tcW w:w="934" w:type="dxa"/>
            <w:noWrap w:val="0"/>
            <w:vAlign w:val="center"/>
          </w:tcPr>
          <w:p w14:paraId="7C21270D">
            <w:pPr>
              <w:jc w:val="center"/>
              <w:rPr>
                <w:rFonts w:hint="eastAsia"/>
              </w:rPr>
            </w:pPr>
          </w:p>
        </w:tc>
        <w:tc>
          <w:tcPr>
            <w:tcW w:w="934" w:type="dxa"/>
            <w:noWrap w:val="0"/>
            <w:vAlign w:val="center"/>
          </w:tcPr>
          <w:p w14:paraId="1D81C19A">
            <w:pPr>
              <w:jc w:val="center"/>
              <w:rPr>
                <w:rFonts w:hint="eastAsia"/>
              </w:rPr>
            </w:pPr>
          </w:p>
        </w:tc>
        <w:tc>
          <w:tcPr>
            <w:tcW w:w="800" w:type="dxa"/>
            <w:noWrap w:val="0"/>
            <w:vAlign w:val="center"/>
          </w:tcPr>
          <w:p w14:paraId="3F2BB4BB">
            <w:pPr>
              <w:jc w:val="center"/>
              <w:rPr>
                <w:rFonts w:hint="eastAsia"/>
              </w:rPr>
            </w:pPr>
          </w:p>
        </w:tc>
        <w:tc>
          <w:tcPr>
            <w:tcW w:w="850" w:type="dxa"/>
            <w:noWrap w:val="0"/>
            <w:vAlign w:val="center"/>
          </w:tcPr>
          <w:p w14:paraId="59B9CB53">
            <w:pPr>
              <w:jc w:val="center"/>
              <w:rPr>
                <w:rFonts w:hint="eastAsia"/>
              </w:rPr>
            </w:pPr>
          </w:p>
        </w:tc>
        <w:tc>
          <w:tcPr>
            <w:tcW w:w="992" w:type="dxa"/>
            <w:noWrap w:val="0"/>
            <w:vAlign w:val="center"/>
          </w:tcPr>
          <w:p w14:paraId="2F4EE035">
            <w:pPr>
              <w:jc w:val="center"/>
              <w:rPr>
                <w:rFonts w:hint="eastAsia"/>
              </w:rPr>
            </w:pPr>
          </w:p>
        </w:tc>
      </w:tr>
    </w:tbl>
    <w:p w14:paraId="3BE402F4">
      <w:pPr>
        <w:rPr>
          <w:b/>
        </w:rPr>
      </w:pPr>
      <w:bookmarkStart w:id="11" w:name="第04章合同条款及格式0111"/>
      <w:bookmarkEnd w:id="11"/>
      <w:r>
        <w:rPr>
          <w:rFonts w:hint="eastAsia"/>
          <w:b/>
        </w:rPr>
        <w:t>11　开工和竣工(完工)</w:t>
      </w:r>
    </w:p>
    <w:p w14:paraId="613F1A65">
      <w:r>
        <w:rPr>
          <w:rFonts w:hint="eastAsia"/>
        </w:rPr>
        <w:t>　　本条全文引用《标准施工招标文件》(2007年版)相应条款，并补充以下内容：</w:t>
      </w:r>
    </w:p>
    <w:p w14:paraId="7495BF1E">
      <w:r>
        <w:rPr>
          <w:rFonts w:hint="eastAsia"/>
        </w:rPr>
        <w:t>　11.1　开工</w:t>
      </w:r>
    </w:p>
    <w:p w14:paraId="28F46220">
      <w:r>
        <w:rPr>
          <w:rFonts w:hint="eastAsia"/>
        </w:rPr>
        <w:t>　　11.1.3　若发包人未能按合同约定向承包人提供开工的必要条件，承包人有权要求延长工期。监理人应在收到承包人的书面要求后，按第3.5款的约定，与合同双方商定或确定增加的费用和延长的工期。</w:t>
      </w:r>
    </w:p>
    <w:p w14:paraId="4960FC7D">
      <w:r>
        <w:rPr>
          <w:rFonts w:hint="eastAsia"/>
        </w:rPr>
        <w:t>　　11.1.4　承包人在接到开工通知后14天内未按进度计划要求及时进场组织施工，监理人可通知承包人在接到通知后7天内提交一份说明其进场延误的书面报告，报送监理人。书面报告应说明不能及时进场的原因和补救措施，由此增加的费用和工期延误责任由承包人承担。</w:t>
      </w:r>
    </w:p>
    <w:p w14:paraId="794E6E67">
      <w:r>
        <w:rPr>
          <w:rFonts w:hint="eastAsia"/>
        </w:rPr>
        <w:t>　11.2　竣工(完工)</w:t>
      </w:r>
    </w:p>
    <w:p w14:paraId="67A662D8">
      <w:r>
        <w:rPr>
          <w:rFonts w:hint="eastAsia"/>
        </w:rPr>
        <w:t>　　承包人应在第1.1.4.3目约定的期限内完成合同工程。合同工程实际完工日期在合同工程完工证书中明确。</w:t>
      </w:r>
    </w:p>
    <w:p w14:paraId="12A2CD6E">
      <w:r>
        <w:rPr>
          <w:rFonts w:hint="eastAsia"/>
        </w:rPr>
        <w:t>　11.4　异常恶劣的气候条件</w:t>
      </w:r>
    </w:p>
    <w:p w14:paraId="49289C3C">
      <w:r>
        <w:rPr>
          <w:rFonts w:hint="eastAsia"/>
        </w:rPr>
        <w:t>　　11.4.1　当工程所在地发生危及施工安全的异常恶劣气候时，发包人和承包人应按本合同通用合同条款第12条的约定，及时采取暂停施工或部分暂停施工措施。异常恶劣气候条件解除后，承包人应及时安排复工。</w:t>
      </w:r>
    </w:p>
    <w:p w14:paraId="151EAF15">
      <w:r>
        <w:rPr>
          <w:rFonts w:hint="eastAsia"/>
        </w:rPr>
        <w:t>　　11.4.2　异常恶劣气候条件造成的工期延误和工程损坏，应由发包人与承包人参照本合同通用合同条款第21.3款的约定协商处理。</w:t>
      </w:r>
    </w:p>
    <w:p w14:paraId="2735D856">
      <w:r>
        <w:rPr>
          <w:rFonts w:hint="eastAsia"/>
        </w:rPr>
        <w:t>　　11.4.3　本合同工程界定异常恶劣气候条件的范围在专用合同条款中约定。</w:t>
      </w:r>
    </w:p>
    <w:p w14:paraId="7DB7C770">
      <w:r>
        <w:rPr>
          <w:rFonts w:hint="eastAsia"/>
        </w:rPr>
        <w:t>　11.6　工期提前</w:t>
      </w:r>
    </w:p>
    <w:p w14:paraId="4609518D">
      <w:r>
        <w:rPr>
          <w:rFonts w:hint="eastAsia"/>
        </w:rPr>
        <w:t>　　发包人要求承包人提前完工，或承包人提出提前完工的建议能够给发包人带来效益的，应由监理人与承包人共同协商采取加快工程进度的措施和修订合同进度计划。发包人应承担承包人由此增加的费用，并向承包人支付专用合同条款约定的相应奖金。</w:t>
      </w:r>
    </w:p>
    <w:p w14:paraId="05646321">
      <w:r>
        <w:rPr>
          <w:rFonts w:hint="eastAsia"/>
        </w:rPr>
        <w:t>　　发包人要求提前完工的，双方协商一致后应签订提前完工协议，协议内容包括：</w:t>
      </w:r>
    </w:p>
    <w:p w14:paraId="42A246EB">
      <w:r>
        <w:rPr>
          <w:rFonts w:hint="eastAsia"/>
        </w:rPr>
        <w:t>　　(1)提前的时间和修订后的进度计划；</w:t>
      </w:r>
    </w:p>
    <w:p w14:paraId="0B3C16D4">
      <w:r>
        <w:rPr>
          <w:rFonts w:hint="eastAsia"/>
        </w:rPr>
        <w:t>　　(2)承包人的赶工措施；</w:t>
      </w:r>
    </w:p>
    <w:p w14:paraId="6C3FA48F">
      <w:r>
        <w:rPr>
          <w:rFonts w:hint="eastAsia"/>
        </w:rPr>
        <w:t>　　(3)发包人为赶工提供的条件；</w:t>
      </w:r>
    </w:p>
    <w:p w14:paraId="03894A56">
      <w:r>
        <w:rPr>
          <w:rFonts w:hint="eastAsia"/>
        </w:rPr>
        <w:t>　　(4)赶工费用(包括利润和奖金)。</w:t>
      </w:r>
    </w:p>
    <w:p w14:paraId="38C9C812">
      <w:pPr>
        <w:rPr>
          <w:b/>
        </w:rPr>
      </w:pPr>
      <w:bookmarkStart w:id="12" w:name="第04章合同条款及格式0112"/>
      <w:bookmarkEnd w:id="12"/>
      <w:r>
        <w:rPr>
          <w:rFonts w:hint="eastAsia"/>
          <w:b/>
        </w:rPr>
        <w:t>12　暂停施工</w:t>
      </w:r>
    </w:p>
    <w:p w14:paraId="2A51A69D">
      <w:r>
        <w:rPr>
          <w:rFonts w:hint="eastAsia"/>
        </w:rPr>
        <w:t>　　本条全文引用《标准施工招标文件》(2007年版)相应条款，并补充以下内容：</w:t>
      </w:r>
    </w:p>
    <w:p w14:paraId="734620D5">
      <w:r>
        <w:rPr>
          <w:rFonts w:hint="eastAsia"/>
        </w:rPr>
        <w:t>　12.2　发包人暂停施工的责任</w:t>
      </w:r>
    </w:p>
    <w:p w14:paraId="2E48EC41">
      <w:r>
        <w:rPr>
          <w:rFonts w:hint="eastAsia"/>
        </w:rPr>
        <w:t>　　由于发包人原因引起的暂停施工造成工期延误的，承包人有权要求发包人延长工期和(或)增加费用，并支付合理利润。</w:t>
      </w:r>
    </w:p>
    <w:p w14:paraId="5854F09A">
      <w:r>
        <w:rPr>
          <w:rFonts w:hint="eastAsia"/>
        </w:rPr>
        <w:t>　　属于下列任何一种情况引起的暂停施工，均为发包人的责任：</w:t>
      </w:r>
    </w:p>
    <w:p w14:paraId="3B110B49">
      <w:r>
        <w:rPr>
          <w:rFonts w:hint="eastAsia"/>
        </w:rPr>
        <w:t>　　(1)由于发包人违约引起的暂停施工；</w:t>
      </w:r>
    </w:p>
    <w:p w14:paraId="4ABC94F8">
      <w:r>
        <w:rPr>
          <w:rFonts w:hint="eastAsia"/>
        </w:rPr>
        <w:t>　　(2)由于不可抗力的自然或社会因素引起的暂停施工；</w:t>
      </w:r>
    </w:p>
    <w:p w14:paraId="5EA0F581">
      <w:r>
        <w:rPr>
          <w:rFonts w:hint="eastAsia"/>
        </w:rPr>
        <w:t>　　(3)专用合同条款中约定的其它由于发包人原因引起的暂停施工。</w:t>
      </w:r>
    </w:p>
    <w:p w14:paraId="3DAE2B2A">
      <w:pPr>
        <w:rPr>
          <w:b/>
        </w:rPr>
      </w:pPr>
      <w:bookmarkStart w:id="13" w:name="第04章合同条款及格式0113"/>
      <w:bookmarkEnd w:id="13"/>
      <w:r>
        <w:rPr>
          <w:rFonts w:hint="eastAsia"/>
          <w:b/>
        </w:rPr>
        <w:t>13　工程质量</w:t>
      </w:r>
    </w:p>
    <w:p w14:paraId="291B0036">
      <w:r>
        <w:rPr>
          <w:rFonts w:hint="eastAsia"/>
        </w:rPr>
        <w:t>　　本条全文引用《标准施工招标文件》(2007年版)相应条款，并补充以下内容：</w:t>
      </w:r>
    </w:p>
    <w:p w14:paraId="4858174A">
      <w:r>
        <w:rPr>
          <w:rFonts w:hint="eastAsia"/>
        </w:rPr>
        <w:t>　13.2　承包人的质量管理</w:t>
      </w:r>
    </w:p>
    <w:p w14:paraId="74BB7C07">
      <w:r>
        <w:rPr>
          <w:rFonts w:hint="eastAsia"/>
        </w:rPr>
        <w:t>　　13.2.1　承包人应在施工场地设置专门的质量检查机构，配备专职质量检查人员，建立完善的质量检查制度。承包人应按技术标准和要求(合同技术条款)约定的内容和期限，编制工程质量保证措施文件，包括质量检查机构的组织和岗位责任、质量检查人员的组成、质量检查程序和实施细则等，提交监理人审批。监理人应在技术标准和要求(合同技术条款)约定的期限内批复承包人。</w:t>
      </w:r>
    </w:p>
    <w:p w14:paraId="0DCD31A3">
      <w:r>
        <w:rPr>
          <w:rFonts w:hint="eastAsia"/>
        </w:rPr>
        <w:t>　13.7　质量评定</w:t>
      </w:r>
    </w:p>
    <w:p w14:paraId="644CE23D">
      <w:r>
        <w:rPr>
          <w:rFonts w:hint="eastAsia"/>
        </w:rPr>
        <w:t>　　13.7.1　发包人应组织承包人进行工程项目划分，并确定单位工程、主要分部工程、重要隐蔽单元工程和关键部位单元工程。</w:t>
      </w:r>
    </w:p>
    <w:p w14:paraId="76E273B4">
      <w:r>
        <w:rPr>
          <w:rFonts w:hint="eastAsia"/>
        </w:rPr>
        <w:t>　　13.7.2　工程实施过程中，单位工程、主要分部工程、重要隐蔽单元工程和关键部位单元工程的项目划分需要调整时，承包人应报发包人确认。</w:t>
      </w:r>
    </w:p>
    <w:p w14:paraId="7B85BFBB">
      <w:r>
        <w:rPr>
          <w:rFonts w:hint="eastAsia"/>
        </w:rPr>
        <w:t>　　13.7.3　承包人应在单元(工序)工程质量自评合格后，报监理人核定质量等级并签证认可。</w:t>
      </w:r>
    </w:p>
    <w:p w14:paraId="1B49E05D">
      <w:r>
        <w:rPr>
          <w:rFonts w:hint="eastAsia"/>
        </w:rPr>
        <w:t>　　13.7.4　除专用合同条款另有约定外，承包人应在重要隐蔽单元工程和关键部位单元工程质量自评合格以及监理人抽检后，由监理人组织承包人等单位组成的联合小组，共同检查核定其质量等级并填写签证表。发包人按有关规定完成质量结论报工程质量监督机构核备手续。</w:t>
      </w:r>
    </w:p>
    <w:p w14:paraId="3D14D01E">
      <w:r>
        <w:rPr>
          <w:rFonts w:hint="eastAsia"/>
        </w:rPr>
        <w:t>　　13.7.5　承包人应在分部工程质量自评合格后，报监理人复核和发包人认定。发包人负责按有关规定完成分部工程质量结论报工程质量监督机构核备(核定)手续。</w:t>
      </w:r>
    </w:p>
    <w:p w14:paraId="2351D1CF">
      <w:r>
        <w:rPr>
          <w:rFonts w:hint="eastAsia"/>
        </w:rPr>
        <w:t>　　13.7.6　承包人应在单位工程质量自评合格后，报监理人复核和发包人认定。发包人负责按有关规定完成单位工程质量结论报工程质量监督机构核定手续。</w:t>
      </w:r>
    </w:p>
    <w:p w14:paraId="07BA1A07">
      <w:r>
        <w:rPr>
          <w:rFonts w:hint="eastAsia"/>
        </w:rPr>
        <w:t>　　13.7.7　除专用合同条款另有约定外，工程质量等级分为合格和优良，应分别达到约定的标准。</w:t>
      </w:r>
    </w:p>
    <w:p w14:paraId="3D790FBA">
      <w:r>
        <w:rPr>
          <w:rFonts w:hint="eastAsia"/>
        </w:rPr>
        <w:t>　13.8　质量事故处理</w:t>
      </w:r>
    </w:p>
    <w:p w14:paraId="58591A43">
      <w:r>
        <w:rPr>
          <w:rFonts w:hint="eastAsia"/>
        </w:rPr>
        <w:t>　　13.8.1　发生质量事故时，承包人应及时向发包人和监理人报告。</w:t>
      </w:r>
    </w:p>
    <w:p w14:paraId="162E7540">
      <w:r>
        <w:rPr>
          <w:rFonts w:hint="eastAsia"/>
        </w:rPr>
        <w:t>　　13.8.2　质量事故调查处理由发包人按相关规定履行手续，承包人应配合。</w:t>
      </w:r>
    </w:p>
    <w:p w14:paraId="11A5E1E3">
      <w:r>
        <w:rPr>
          <w:rFonts w:hint="eastAsia"/>
        </w:rPr>
        <w:t>　　13.8.3　承包人应对质量缺陷进行备案。发包人委托监理人对质量缺陷备案情况进行监督检查并履行相关手续。</w:t>
      </w:r>
    </w:p>
    <w:p w14:paraId="4221AADC">
      <w:r>
        <w:rPr>
          <w:rFonts w:hint="eastAsia"/>
        </w:rPr>
        <w:t>　　13.8.4　除专用合同条款另有约定外，工程竣工验收时，发包人负责向竣工验收委员会汇报并提交历次质量缺陷处理的备案资料。</w:t>
      </w:r>
    </w:p>
    <w:p w14:paraId="6FD5BA02">
      <w:pPr>
        <w:rPr>
          <w:b/>
        </w:rPr>
      </w:pPr>
      <w:bookmarkStart w:id="14" w:name="第04章合同条款及格式0114"/>
      <w:bookmarkEnd w:id="14"/>
      <w:r>
        <w:rPr>
          <w:rFonts w:hint="eastAsia"/>
          <w:b/>
        </w:rPr>
        <w:t>14　试验和检验</w:t>
      </w:r>
    </w:p>
    <w:p w14:paraId="1EE94EFA">
      <w:r>
        <w:rPr>
          <w:rFonts w:hint="eastAsia"/>
        </w:rPr>
        <w:t>　　本条全文引用《标准施工招标文件》(2007年版)相应条款，并补充以下内容：</w:t>
      </w:r>
    </w:p>
    <w:p w14:paraId="45A2CAB8">
      <w:r>
        <w:rPr>
          <w:rFonts w:hint="eastAsia"/>
        </w:rPr>
        <w:t>　14.1　材料、工程设备和工程的试验和检验</w:t>
      </w:r>
    </w:p>
    <w:p w14:paraId="16E2D4F8">
      <w:r>
        <w:rPr>
          <w:rFonts w:hint="eastAsia"/>
        </w:rPr>
        <w:t>　　14.1.4　承包人应按相关规定和标准对水泥、钢材等原材料与中间产品质量进行检验，并报监理人复核。</w:t>
      </w:r>
    </w:p>
    <w:p w14:paraId="7AFABA9B">
      <w:r>
        <w:rPr>
          <w:rFonts w:hint="eastAsia"/>
        </w:rPr>
        <w:t>　　14.1.5　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作好记录，并进行妥善处理。</w:t>
      </w:r>
    </w:p>
    <w:p w14:paraId="6F6E5B1C">
      <w:r>
        <w:rPr>
          <w:rFonts w:hint="eastAsia"/>
        </w:rPr>
        <w:t>　　14.1.6　对专用合同条款约定的试块、试件及有关材料，监理人实行见证取样。见证取样资料由承包人制备，记录应真实齐全，监理人、承包人等参与见证取样人员均应在相关文件上签字。</w:t>
      </w:r>
    </w:p>
    <w:p w14:paraId="1C89D8B2">
      <w:pPr>
        <w:rPr>
          <w:b/>
        </w:rPr>
      </w:pPr>
      <w:bookmarkStart w:id="15" w:name="第04章合同条款及格式0115"/>
      <w:bookmarkEnd w:id="15"/>
      <w:r>
        <w:rPr>
          <w:rFonts w:hint="eastAsia"/>
          <w:b/>
        </w:rPr>
        <w:t>15　变更</w:t>
      </w:r>
    </w:p>
    <w:p w14:paraId="44A7375B">
      <w:r>
        <w:rPr>
          <w:rFonts w:hint="eastAsia"/>
        </w:rPr>
        <w:t>　　本条全文引用《标准施工招标文件》(2007年版)相应条款，并补充以下内容：</w:t>
      </w:r>
    </w:p>
    <w:p w14:paraId="6DB4145F">
      <w:r>
        <w:rPr>
          <w:rFonts w:hint="eastAsia"/>
        </w:rPr>
        <w:t>　15.1　变更的范围和内容</w:t>
      </w:r>
    </w:p>
    <w:p w14:paraId="41B70986">
      <w:r>
        <w:rPr>
          <w:rFonts w:hint="eastAsia"/>
        </w:rPr>
        <w:t>　　在履行合同中发生以下情形之一，应按照本款规定进行变更。</w:t>
      </w:r>
    </w:p>
    <w:p w14:paraId="00BE3542">
      <w:r>
        <w:rPr>
          <w:rFonts w:hint="eastAsia"/>
        </w:rPr>
        <w:t>　　(1)取消合同中任何一项工作，但被取消的工作不能转由发包人或其它人实施；</w:t>
      </w:r>
    </w:p>
    <w:p w14:paraId="1B7C1846">
      <w:r>
        <w:rPr>
          <w:rFonts w:hint="eastAsia"/>
        </w:rPr>
        <w:t>　　(2)改变合同中任何一项工作的质量或其它特性；</w:t>
      </w:r>
    </w:p>
    <w:p w14:paraId="4EA951C0">
      <w:r>
        <w:rPr>
          <w:rFonts w:hint="eastAsia"/>
        </w:rPr>
        <w:t>　　(3)改变合同工程的基线、标高、位置或尺寸；</w:t>
      </w:r>
    </w:p>
    <w:p w14:paraId="3E88237C">
      <w:r>
        <w:rPr>
          <w:rFonts w:hint="eastAsia"/>
        </w:rPr>
        <w:t>　　(4)改变合同中任何一项工作的施工时间或改变已批准的施工工艺或顺序；</w:t>
      </w:r>
    </w:p>
    <w:p w14:paraId="6D61C81D">
      <w:r>
        <w:rPr>
          <w:rFonts w:hint="eastAsia"/>
        </w:rPr>
        <w:t>　　(5)为完成工程需要追加的额外工作；</w:t>
      </w:r>
    </w:p>
    <w:p w14:paraId="2F266EB9">
      <w:r>
        <w:rPr>
          <w:rFonts w:hint="eastAsia"/>
        </w:rPr>
        <w:t>　　(6)增加或减少专用合同条款中约定的关键项目工程量超过其工程总量的一定数量百分比。</w:t>
      </w:r>
    </w:p>
    <w:p w14:paraId="7A921904">
      <w:r>
        <w:rPr>
          <w:rFonts w:hint="eastAsia"/>
        </w:rPr>
        <w:t>　　上述第(1)～(6)目的变更内容引起工程施工组织和进度计划发生实质性变动和影响其原定的价格时，才予调整该项目的单价。第(6)目情形下单价调整方式在专用合同条款中约定。</w:t>
      </w:r>
    </w:p>
    <w:p w14:paraId="420DA9A8">
      <w:r>
        <w:rPr>
          <w:rFonts w:hint="eastAsia"/>
        </w:rPr>
        <w:t>　15.8　暂估价</w:t>
      </w:r>
    </w:p>
    <w:p w14:paraId="269A260F">
      <w:r>
        <w:rPr>
          <w:rFonts w:hint="eastAsia"/>
        </w:rPr>
        <w:t>　　15.8.1　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它费用列入合同价格。必须招标的暂估价项目招标组织形式、发包人和承包人组织招标时双方的权利义务关系在专用合同条款中约定。</w:t>
      </w:r>
    </w:p>
    <w:p w14:paraId="0C739797">
      <w:pPr>
        <w:rPr>
          <w:b/>
        </w:rPr>
      </w:pPr>
      <w:bookmarkStart w:id="16" w:name="第04章合同条款及格式0116"/>
      <w:bookmarkEnd w:id="16"/>
      <w:r>
        <w:rPr>
          <w:rFonts w:hint="eastAsia"/>
          <w:b/>
        </w:rPr>
        <w:t>16　价格调整</w:t>
      </w:r>
    </w:p>
    <w:p w14:paraId="039D59A7">
      <w:r>
        <w:rPr>
          <w:rFonts w:hint="eastAsia"/>
        </w:rPr>
        <w:t>　　本条全文引用《标准施工招标文件》(2007年版)相应条款，并补充以下内容：</w:t>
      </w:r>
    </w:p>
    <w:p w14:paraId="4457E9F6">
      <w:r>
        <w:rPr>
          <w:rFonts w:hint="eastAsia"/>
        </w:rPr>
        <w:t>　16.1　物价波动引起的价格调整</w:t>
      </w:r>
    </w:p>
    <w:p w14:paraId="08B42334">
      <w:r>
        <w:rPr>
          <w:rFonts w:hint="eastAsia"/>
        </w:rPr>
        <w:t>由于物价波动原因引起合同价格需要调整的，其价格调整方式在专用合同条款中约定。</w:t>
      </w:r>
    </w:p>
    <w:p w14:paraId="4BF5EAA0">
      <w:r>
        <w:rPr>
          <w:rFonts w:hint="eastAsia"/>
        </w:rPr>
        <w:t>　　16.1.2　采用造价信息调整价格差额</w:t>
      </w:r>
    </w:p>
    <w:p w14:paraId="3FD7B70A">
      <w:r>
        <w:rPr>
          <w:rFonts w:hint="eastAsia"/>
        </w:rPr>
        <w:t>　　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14:paraId="43170B8A">
      <w:r>
        <w:rPr>
          <w:rFonts w:hint="eastAsia"/>
        </w:rPr>
        <w:t>工程造价信息的来源以及价格调整的项目和系数在专用合同条款中约定。</w:t>
      </w:r>
    </w:p>
    <w:p w14:paraId="0E7D8ED5">
      <w:pPr>
        <w:rPr>
          <w:b/>
        </w:rPr>
      </w:pPr>
      <w:bookmarkStart w:id="17" w:name="第04章合同条款及格式0117"/>
      <w:bookmarkEnd w:id="17"/>
      <w:r>
        <w:rPr>
          <w:rFonts w:hint="eastAsia"/>
          <w:b/>
        </w:rPr>
        <w:t>17　计量与支付</w:t>
      </w:r>
    </w:p>
    <w:p w14:paraId="5381F1E1">
      <w:r>
        <w:rPr>
          <w:rFonts w:hint="eastAsia"/>
        </w:rPr>
        <w:t>　　本条全文引用《标准施工招标文件》(2007年版)相应条款，并补充以下内容：</w:t>
      </w:r>
    </w:p>
    <w:p w14:paraId="16A60AA7">
      <w:r>
        <w:rPr>
          <w:rFonts w:hint="eastAsia"/>
        </w:rPr>
        <w:t>　17.1　计量</w:t>
      </w:r>
    </w:p>
    <w:p w14:paraId="2F5FCC7A">
      <w:r>
        <w:rPr>
          <w:rFonts w:hint="eastAsia"/>
        </w:rPr>
        <w:t>　　17.1.2　计量方法</w:t>
      </w:r>
    </w:p>
    <w:p w14:paraId="6330E146">
      <w:r>
        <w:rPr>
          <w:rFonts w:hint="eastAsia"/>
        </w:rPr>
        <w:t>　　结算工程量应按工程量清单中约定的方法计量。</w:t>
      </w:r>
    </w:p>
    <w:p w14:paraId="6253B5E2">
      <w:r>
        <w:rPr>
          <w:rFonts w:hint="eastAsia"/>
        </w:rPr>
        <w:t>　　17.1.5　总价子目的计量</w:t>
      </w:r>
    </w:p>
    <w:p w14:paraId="3E478A1F">
      <w:r>
        <w:rPr>
          <w:rFonts w:hint="eastAsia"/>
        </w:rPr>
        <w:t>　　总价子目的分解和计量按照下述约定进行。</w:t>
      </w:r>
    </w:p>
    <w:p w14:paraId="109625F6">
      <w:r>
        <w:rPr>
          <w:rFonts w:hint="eastAsia"/>
        </w:rPr>
        <w:t>　　(1)总价子目的计量和支付应以总价为基础，不因第16.1款中的因素而进行调整。承包人实际完成的工程量，是进行工程目标管理和控制进度支付的依据。</w:t>
      </w:r>
    </w:p>
    <w:p w14:paraId="3DB056F4">
      <w:r>
        <w:rPr>
          <w:rFonts w:hint="eastAsia"/>
        </w:rPr>
        <w:t>　　(2)承包人应按工程量清单的要求对总价子目进行分解，并在签订协议书后的28天内将各子目的总价支付分解表提交监理人审批。分解表应标明其所属子目和分阶段需支付的金额。承包人应按批准的各总价子目支付周期，对已完成的总价子目进行计量，确定分项的应付金额列入进度付款申请单中。</w:t>
      </w:r>
    </w:p>
    <w:p w14:paraId="72C57787">
      <w:r>
        <w:rPr>
          <w:rFonts w:hint="eastAsia"/>
        </w:rPr>
        <w:t>　　(3)监理人对承包人提交的上述资料进行复核，以确定分阶段实际完成的工程量和工程形象目标。对其有异议的，可要求承包人按第8.2款约定进行共同复核和抽样复测。</w:t>
      </w:r>
    </w:p>
    <w:p w14:paraId="0FE6D9E0">
      <w:r>
        <w:rPr>
          <w:rFonts w:hint="eastAsia"/>
        </w:rPr>
        <w:t>　　(4)除按照第15条约定的变更外，总价子目的工程量是承包人用于结算的最终工程量。</w:t>
      </w:r>
    </w:p>
    <w:p w14:paraId="4F5D595E">
      <w:r>
        <w:rPr>
          <w:rFonts w:hint="eastAsia"/>
        </w:rPr>
        <w:t>　17.2　预付款</w:t>
      </w:r>
    </w:p>
    <w:p w14:paraId="561F3392">
      <w:r>
        <w:rPr>
          <w:rFonts w:hint="eastAsia"/>
        </w:rPr>
        <w:t>　　17.2.1　预付款</w:t>
      </w:r>
    </w:p>
    <w:p w14:paraId="5FEDBB3E">
      <w:r>
        <w:rPr>
          <w:rFonts w:hint="eastAsia"/>
        </w:rPr>
        <w:t>　　预付款用于承包人为合同工程施工购置材料、工程设备、施工设备、修建临时设施以及组织施工队伍进场等，分为工程预付款和工程材料预付款。预付款必须专用于合同工程。预付款的额度和预付办法在专用合同条款中约定。</w:t>
      </w:r>
    </w:p>
    <w:p w14:paraId="12B7D41C">
      <w:r>
        <w:rPr>
          <w:rFonts w:hint="eastAsia"/>
        </w:rPr>
        <w:t>　　17.2.2　预付款保函(担保)</w:t>
      </w:r>
    </w:p>
    <w:p w14:paraId="03435B93">
      <w:r>
        <w:rPr>
          <w:rFonts w:hint="eastAsia"/>
        </w:rPr>
        <w:t>　　(1)承包人应在收到第一次工程预付款的同时向发包人提交工程预付款担保，担保金额应与第一次工程预付款金额相同，工程预付款担保在第一次工程预付款被发包人扣回前一直有效。</w:t>
      </w:r>
    </w:p>
    <w:p w14:paraId="36B00552">
      <w:r>
        <w:rPr>
          <w:rFonts w:hint="eastAsia"/>
        </w:rPr>
        <w:t>　　(2)工程材料预付款的担保在专用合同条款中约定。</w:t>
      </w:r>
    </w:p>
    <w:p w14:paraId="1FCA5DC4">
      <w:r>
        <w:rPr>
          <w:rFonts w:hint="eastAsia"/>
        </w:rPr>
        <w:t>　　(3)预付款担保的担保金额可根据预付款扣回的金额相应递减。</w:t>
      </w:r>
    </w:p>
    <w:p w14:paraId="78779876">
      <w:r>
        <w:rPr>
          <w:rFonts w:hint="eastAsia"/>
        </w:rPr>
        <w:t>　　17.2.3　预付款的扣回与还清</w:t>
      </w:r>
    </w:p>
    <w:p w14:paraId="37202370">
      <w:r>
        <w:rPr>
          <w:rFonts w:hint="eastAsia"/>
        </w:rPr>
        <w:t>　　预付款在进度付款中扣回，扣回与还清办法在专用合同条款中约定。在颁发合同工程完工证书前，由于不可抗力或其它原因解除合同时，预付款尚未扣清的，尚未扣清的预付款余额应作为承包人的到期应付款。</w:t>
      </w:r>
    </w:p>
    <w:p w14:paraId="0A5974D4">
      <w:r>
        <w:rPr>
          <w:rFonts w:hint="eastAsia"/>
        </w:rPr>
        <w:t>　17.4　质量保证金</w:t>
      </w:r>
    </w:p>
    <w:p w14:paraId="60E33A0B">
      <w:r>
        <w:rPr>
          <w:rFonts w:hint="eastAsia"/>
        </w:rPr>
        <w:t>　　17.4.1　监理人应从第一个工程进度付款周期开始，在发包人的进度付款中，按专用合同条款的约定扣留质量保证金，直至扣留的质量保证金总额达到专用合同条款约定的金额或比例为止。质量保证金的计算额度不包括预付款的支付与扣回金额。</w:t>
      </w:r>
    </w:p>
    <w:p w14:paraId="148A2AC9">
      <w:r>
        <w:rPr>
          <w:rFonts w:hint="eastAsia"/>
        </w:rPr>
        <w:t>　　17.4.2　合同工程完工证书颁发后14天内，发包人将质量保证金总额的一半支付给承包人。在第1.1.4.5目约定的缺陷责任期(工程质量保修期)满时，发包人将在30个工作日内会同承包人按照合同约定的内容核实承包人是否完成保修责任。如无异议，发包人应当在核实后将剩余的质量保证金支付给承包人。</w:t>
      </w:r>
    </w:p>
    <w:p w14:paraId="5C33AB79">
      <w:r>
        <w:rPr>
          <w:rFonts w:hint="eastAsia"/>
        </w:rPr>
        <w:t>　17.5　竣工结算(完工结算)</w:t>
      </w:r>
    </w:p>
    <w:p w14:paraId="08C126AC">
      <w:r>
        <w:rPr>
          <w:rFonts w:hint="eastAsia"/>
        </w:rPr>
        <w:t>　　17.5.1　竣工(完工)付款申请单</w:t>
      </w:r>
    </w:p>
    <w:p w14:paraId="2BED151E">
      <w:r>
        <w:rPr>
          <w:rFonts w:hint="eastAsia"/>
        </w:rPr>
        <w:t>　　(1)承包人应在合同工程完工证书颁发后28天内，按专用合同条款约定的份数向监理人提交完工付款申请单，并提供相关证明材料。完工付款申请单应包括下列内容：完工结算合同总价、发包人已支付承包人的工程价款、应扣留的质量保证金、应支付的完工付款金额。</w:t>
      </w:r>
    </w:p>
    <w:p w14:paraId="031AB62E">
      <w:r>
        <w:rPr>
          <w:rFonts w:hint="eastAsia"/>
        </w:rPr>
        <w:t>　　(2)监理人对完工付款申请单有异议的，有权要求承包人进行修正和提供补充资料。经监理人和承包人协商后，由承包人向监理人提交修正后的完工付款申请单。</w:t>
      </w:r>
    </w:p>
    <w:p w14:paraId="2C9CB7C7">
      <w:r>
        <w:rPr>
          <w:rFonts w:hint="eastAsia"/>
        </w:rPr>
        <w:t>　　17.5.2　竣工(完工)付款证书及支付时间</w:t>
      </w:r>
    </w:p>
    <w:p w14:paraId="02DD9124">
      <w:r>
        <w:rPr>
          <w:rFonts w:hint="eastAsia"/>
        </w:rPr>
        <w:t>　　(1)监理人在收到承包人提交的完工付款申请单后的14天内完成核查，提出发包人到期应支付给承包人的价款送发包人审核并抄送承包人。发包人应在收到后14天内审核完毕，由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支付给承包人的价款视为已经发包人同意。</w:t>
      </w:r>
    </w:p>
    <w:p w14:paraId="1AC021A2">
      <w:r>
        <w:rPr>
          <w:rFonts w:hint="eastAsia"/>
        </w:rPr>
        <w:t>　　(2)发包人应在监理人出具完工付款证书后的14天内，将应支付款支付给承包人。发包人不按期支付的，按第17.3.3(2)目的约定，将逾期付款违约金支付给承包人。</w:t>
      </w:r>
    </w:p>
    <w:p w14:paraId="6B576F21">
      <w:r>
        <w:rPr>
          <w:rFonts w:hint="eastAsia"/>
        </w:rPr>
        <w:t>　　(3)承包人对发包人签认的完工付款证书有异议的，发包人可出具完工付款申请单中承包人已同意部分的临时付款证书。存在争议的部分，按第24条的约定办理。</w:t>
      </w:r>
    </w:p>
    <w:p w14:paraId="7E286348">
      <w:r>
        <w:rPr>
          <w:rFonts w:hint="eastAsia"/>
        </w:rPr>
        <w:t>　　(4)完工付款涉及政府投资资金的，按第17.3.3(4)目的约定办理。</w:t>
      </w:r>
    </w:p>
    <w:p w14:paraId="6BC456D9">
      <w:r>
        <w:rPr>
          <w:rFonts w:hint="eastAsia"/>
        </w:rPr>
        <w:t>　17.6　最终结清</w:t>
      </w:r>
    </w:p>
    <w:p w14:paraId="227EFB41">
      <w:r>
        <w:rPr>
          <w:rFonts w:hint="eastAsia"/>
        </w:rPr>
        <w:t>　　17.6.1　最终结清申请单</w:t>
      </w:r>
    </w:p>
    <w:p w14:paraId="70A402B2">
      <w:r>
        <w:rPr>
          <w:rFonts w:hint="eastAsia"/>
        </w:rPr>
        <w:t>　　(1)工程质量保修责任终止证书签发后，承包人应按监理人批准的格式提交最终结清申请单。提交最终结清申请单的份数在专用合同条款中约定。</w:t>
      </w:r>
    </w:p>
    <w:p w14:paraId="0C79D112">
      <w:r>
        <w:rPr>
          <w:rFonts w:hint="eastAsia"/>
        </w:rPr>
        <w:t>　　(2)发包人对最终结清申请单内容有异议的，有权要求承包人进行修正和提供补充资料，由承包人向监理人提交修正后的最终结清申请单。</w:t>
      </w:r>
    </w:p>
    <w:p w14:paraId="4ABDD52E">
      <w:r>
        <w:rPr>
          <w:rFonts w:hint="eastAsia"/>
        </w:rPr>
        <w:t>　17.7　竣工财务决算</w:t>
      </w:r>
    </w:p>
    <w:p w14:paraId="717CC181">
      <w:r>
        <w:rPr>
          <w:rFonts w:hint="eastAsia"/>
        </w:rPr>
        <w:t>　　发包人负责编制本工程项目竣工财务决算，承包人应按专用合同条款的约定提供竣工财务决算编制所需的相关材料。</w:t>
      </w:r>
    </w:p>
    <w:p w14:paraId="19EB7B41">
      <w:r>
        <w:rPr>
          <w:rFonts w:hint="eastAsia"/>
        </w:rPr>
        <w:t>　17.8　竣工审计</w:t>
      </w:r>
    </w:p>
    <w:p w14:paraId="5F6BE164">
      <w:r>
        <w:rPr>
          <w:rFonts w:hint="eastAsia"/>
        </w:rPr>
        <w:t>　　发包人负责完成本工程竣工审计手续，承包人应完成相关配合工作。</w:t>
      </w:r>
    </w:p>
    <w:p w14:paraId="72202094">
      <w:pPr>
        <w:rPr>
          <w:b/>
        </w:rPr>
      </w:pPr>
      <w:bookmarkStart w:id="18" w:name="第04章合同条款及格式0118"/>
      <w:bookmarkEnd w:id="18"/>
      <w:r>
        <w:rPr>
          <w:rFonts w:hint="eastAsia"/>
          <w:b/>
        </w:rPr>
        <w:t>18　竣工验收(验收)</w:t>
      </w:r>
    </w:p>
    <w:p w14:paraId="400B6E72">
      <w:r>
        <w:rPr>
          <w:rFonts w:hint="eastAsia"/>
        </w:rPr>
        <w:t>　　本条全文引用《标准施工招标文件》(2007年版)相应条款，并补充以下内容：</w:t>
      </w:r>
    </w:p>
    <w:p w14:paraId="34DF1C82">
      <w:r>
        <w:rPr>
          <w:rFonts w:hint="eastAsia"/>
        </w:rPr>
        <w:t>　18.1　验收工作分类</w:t>
      </w:r>
    </w:p>
    <w:p w14:paraId="573930D3">
      <w:r>
        <w:rPr>
          <w:rFonts w:hint="eastAsia"/>
        </w:rPr>
        <w:t>　　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工程量清单中。</w:t>
      </w:r>
    </w:p>
    <w:p w14:paraId="4945BCA1">
      <w:r>
        <w:rPr>
          <w:rFonts w:hint="eastAsia"/>
        </w:rPr>
        <w:t>　18.2　分部工程验收</w:t>
      </w:r>
    </w:p>
    <w:p w14:paraId="0B43F029">
      <w:r>
        <w:rPr>
          <w:rFonts w:hint="eastAsia"/>
        </w:rPr>
        <w:t>　　18.2.1　分部工程具备验收条件时，承包人应向发包人提交验收申请报告，发包人应在收到验收申请报告之日起10个工作日内决定是否同意进行验收。</w:t>
      </w:r>
    </w:p>
    <w:p w14:paraId="77DACC52">
      <w:r>
        <w:rPr>
          <w:rFonts w:hint="eastAsia"/>
        </w:rPr>
        <w:t>　　18.2.2　除专用合同条款另有约定外，监理人主持分部工程验收，承包人应派符合条件的代表参加验收工作组。</w:t>
      </w:r>
    </w:p>
    <w:p w14:paraId="1FB4B8FF">
      <w:r>
        <w:rPr>
          <w:rFonts w:hint="eastAsia"/>
        </w:rPr>
        <w:t>　　18.2.3　分部工程验收通过后，发包人向承包人发送分部工程验收鉴定书。承包人应及时完成分部工程验收鉴定书载明应由承包人处理的遗留问题。</w:t>
      </w:r>
    </w:p>
    <w:p w14:paraId="0DA8E326">
      <w:r>
        <w:rPr>
          <w:rFonts w:hint="eastAsia"/>
        </w:rPr>
        <w:t>　18.3　单位工程验收</w:t>
      </w:r>
    </w:p>
    <w:p w14:paraId="41269FA4">
      <w:r>
        <w:rPr>
          <w:rFonts w:hint="eastAsia"/>
        </w:rPr>
        <w:t>　　18.3.1　单位工程具备验收条件时，承包人应向发包人提交验收申请报告，发包人应在收到验收申请报告之日起10个工作日内决定是否同意进行验收。</w:t>
      </w:r>
    </w:p>
    <w:p w14:paraId="3DAA28C7">
      <w:r>
        <w:rPr>
          <w:rFonts w:hint="eastAsia"/>
        </w:rPr>
        <w:t>　　18.3.2　发包人主持单位工程验收，承包人应派符合条件的代表参加验收工作组。</w:t>
      </w:r>
    </w:p>
    <w:p w14:paraId="219D5226">
      <w:r>
        <w:rPr>
          <w:rFonts w:hint="eastAsia"/>
        </w:rPr>
        <w:t>　　18.3.3　单位工程验收通过后，发包人向承包人发送单位工程验收鉴定书。承包人应及时完成单位工程验收鉴定书载明应由承包人处理的遗留问题。</w:t>
      </w:r>
    </w:p>
    <w:p w14:paraId="3F1B7E83">
      <w:r>
        <w:rPr>
          <w:rFonts w:hint="eastAsia"/>
        </w:rPr>
        <w:t>　　18.3.4　需提前投入使用的单位工程在专用合同条款中明确。</w:t>
      </w:r>
    </w:p>
    <w:p w14:paraId="20EA2370">
      <w:r>
        <w:rPr>
          <w:rFonts w:hint="eastAsia"/>
        </w:rPr>
        <w:t>　18.4　合同工程完工验收</w:t>
      </w:r>
    </w:p>
    <w:p w14:paraId="75BDC6F4">
      <w:r>
        <w:rPr>
          <w:rFonts w:hint="eastAsia"/>
        </w:rPr>
        <w:t>　　18.4.1　合同工程具备验收条件时，承包人应向发包人提交验收申请报告，发包人应在收到验收申请报告之日起20个工作日内决定是否同意进行验收。</w:t>
      </w:r>
    </w:p>
    <w:p w14:paraId="579B44A9">
      <w:r>
        <w:rPr>
          <w:rFonts w:hint="eastAsia"/>
        </w:rPr>
        <w:t>　　18.4.2　发包人主持合同工程完工验收，承包人应派代表参加验收工作组。</w:t>
      </w:r>
    </w:p>
    <w:p w14:paraId="7DBAEC3B">
      <w:r>
        <w:rPr>
          <w:rFonts w:hint="eastAsia"/>
        </w:rPr>
        <w:t>　　18.4.3　合同工程完工验收通过后，发包人向承包人发送合同工程完工验收鉴定书。承包人应及时完成合同工程完工验收鉴定书载明应由承包人处理的遗留问题。</w:t>
      </w:r>
    </w:p>
    <w:p w14:paraId="0ACC39B9">
      <w:r>
        <w:rPr>
          <w:rFonts w:hint="eastAsia"/>
        </w:rPr>
        <w:t>　　18.4.4　合同工程完工验收通过后，发包人与承包人应在30个工作日内组织专人负责工程交接，双方交接负责人应在交接记录上签字。承包人应按验收鉴定书约定的时间及时移交工程及其档案资料。工程移交时，承包人应向发包人递交工程质量保修书。在承包人递交了工程质量保修书、完成施工场地清理以及提交有关资料后，发包人应在30个工作日内向承包人颁发合同工程完工证书。</w:t>
      </w:r>
    </w:p>
    <w:p w14:paraId="56383C0E">
      <w:r>
        <w:rPr>
          <w:rFonts w:hint="eastAsia"/>
        </w:rPr>
        <w:t>　18.5　阶段验收</w:t>
      </w:r>
    </w:p>
    <w:p w14:paraId="282DE77B">
      <w:r>
        <w:rPr>
          <w:rFonts w:hint="eastAsia"/>
        </w:rPr>
        <w:t>　　18.5.1　工程建设具备阶段验收条件时，发包人负责提出阶段验收申请报告。承包人应派代表参加阶段验收，并作为被验收单位在验收鉴定书上签字。阶段验收的具体类别在专用合同条款中约定。</w:t>
      </w:r>
    </w:p>
    <w:p w14:paraId="41C1AA10">
      <w:r>
        <w:rPr>
          <w:rFonts w:hint="eastAsia"/>
        </w:rPr>
        <w:t>　　18.5.2　承包人应及时完成阶段验收鉴定书载明应由承包人处理的遗留问题。</w:t>
      </w:r>
    </w:p>
    <w:p w14:paraId="1A2DE16E">
      <w:r>
        <w:rPr>
          <w:rFonts w:hint="eastAsia"/>
        </w:rPr>
        <w:t>　18.6　专项验收</w:t>
      </w:r>
    </w:p>
    <w:p w14:paraId="3250E82E">
      <w:r>
        <w:rPr>
          <w:rFonts w:hint="eastAsia"/>
        </w:rPr>
        <w:t>　　18.6.1　发包人负责提出专项验收申请报告。承包人应按专项验收的相关规定参加专项验收。专项验收的具体类别在专用合同条款中约定。</w:t>
      </w:r>
    </w:p>
    <w:p w14:paraId="06200B7D">
      <w:r>
        <w:rPr>
          <w:rFonts w:hint="eastAsia"/>
        </w:rPr>
        <w:t>　　18.6.2　承包人应及时完成专项验收成果性文件载明应由承包人处理的遗留问题。</w:t>
      </w:r>
    </w:p>
    <w:p w14:paraId="7614566F">
      <w:r>
        <w:rPr>
          <w:rFonts w:hint="eastAsia"/>
        </w:rPr>
        <w:t>　18.7　竣工验收</w:t>
      </w:r>
    </w:p>
    <w:p w14:paraId="7E8FDC8C">
      <w:r>
        <w:rPr>
          <w:rFonts w:hint="eastAsia"/>
        </w:rPr>
        <w:t>　　18.7.1　申请竣工验收前，发包人组织竣工验收自查，承包人应派代表参加。</w:t>
      </w:r>
    </w:p>
    <w:p w14:paraId="1F18A9E8">
      <w:r>
        <w:rPr>
          <w:rFonts w:hint="eastAsia"/>
        </w:rPr>
        <w:t>　　18.7.2　竣工验收分为竣工技术预验收和竣工验收两个阶段。发包人应通知承包人派代表参加技术预验收和竣工验收。</w:t>
      </w:r>
    </w:p>
    <w:p w14:paraId="04B9AB4B">
      <w:r>
        <w:rPr>
          <w:rFonts w:hint="eastAsia"/>
        </w:rPr>
        <w:t>　　18.7.3　专用合同条款约定工程需要进行技术鉴定的，承包人应提交有关资料并完成配合工作。</w:t>
      </w:r>
    </w:p>
    <w:p w14:paraId="0530A405">
      <w:r>
        <w:rPr>
          <w:rFonts w:hint="eastAsia"/>
        </w:rPr>
        <w:t>　　18.7.4　竣工验收需要进行质量检测的，所需费用由发包人承担，但因承包人原因造成质量不合格的除外。</w:t>
      </w:r>
    </w:p>
    <w:p w14:paraId="662E5170">
      <w:r>
        <w:rPr>
          <w:rFonts w:hint="eastAsia"/>
        </w:rPr>
        <w:t>　　18.7.5　工程质量保修期满以及竣工验收遗留问题和尾工处理完成并通过验收后，发包人负责将处理情况和验收成果报送竣工验收主持单位，申请领取工程竣工证书，并发送承包人。</w:t>
      </w:r>
    </w:p>
    <w:p w14:paraId="28C0E7C0">
      <w:r>
        <w:rPr>
          <w:rFonts w:hint="eastAsia"/>
        </w:rPr>
        <w:t>　18.8　施工期运行</w:t>
      </w:r>
    </w:p>
    <w:p w14:paraId="36CAB20F">
      <w:r>
        <w:rPr>
          <w:rFonts w:hint="eastAsia"/>
        </w:rPr>
        <w:t>　　18.8.1　施工期运行是指合同工程尚未全部完工，其中某单位工程或部分工程已完工，需要投入施工期运行的，经发包人按第18.2款或第18.3款的约定验收合格，证明能确保安全后，才能在施工期投入运行。需要在施工期运行的单位工程或部分工程在专用合同条款中约定。</w:t>
      </w:r>
    </w:p>
    <w:p w14:paraId="62815F8C">
      <w:r>
        <w:rPr>
          <w:rFonts w:hint="eastAsia"/>
        </w:rPr>
        <w:t>　　18.8.2　在施工期运行中发现工程或工程设备损坏或存在缺陷的，由承包人按第19.2款约定进行修复。</w:t>
      </w:r>
    </w:p>
    <w:p w14:paraId="1C2D323D">
      <w:r>
        <w:rPr>
          <w:rFonts w:hint="eastAsia"/>
        </w:rPr>
        <w:t>　18.9　试运行</w:t>
      </w:r>
    </w:p>
    <w:p w14:paraId="3881A07C">
      <w:r>
        <w:rPr>
          <w:rFonts w:hint="eastAsia"/>
        </w:rPr>
        <w:t>　　18.9.1　除专用合同条款另有约定外，承包人应按规定进行工程及工程设备试运行，负责提供试运行所需的人员、器材和必要的条件，并承担全部试运行费用。</w:t>
      </w:r>
    </w:p>
    <w:p w14:paraId="60D26835">
      <w:r>
        <w:rPr>
          <w:rFonts w:hint="eastAsia"/>
        </w:rPr>
        <w:t>　　18.9.2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42410E06">
      <w:r>
        <w:rPr>
          <w:rFonts w:hint="eastAsia"/>
        </w:rPr>
        <w:t>　18.10　竣工(完工)清场</w:t>
      </w:r>
    </w:p>
    <w:p w14:paraId="2BD5EFA1">
      <w:r>
        <w:rPr>
          <w:rFonts w:hint="eastAsia"/>
        </w:rPr>
        <w:t>　　18.10.1　工程项目竣工(完工)清场的工作范围和内容在技术标准和要求(合同技术条款)中约定。</w:t>
      </w:r>
    </w:p>
    <w:p w14:paraId="0D9E1838">
      <w:r>
        <w:rPr>
          <w:rFonts w:hint="eastAsia"/>
        </w:rPr>
        <w:t>　　18.10.2　承包人未按监理人的要求恢复临时占地，或者场地清理未达到合同约定的，发包人有权委托其它人恢复或清理，所发生的金额从拟支付给承包人的款项中扣除。</w:t>
      </w:r>
    </w:p>
    <w:p w14:paraId="18916F52">
      <w:r>
        <w:rPr>
          <w:rFonts w:hint="eastAsia"/>
        </w:rPr>
        <w:t>　18.11　施工队伍的撤离</w:t>
      </w:r>
    </w:p>
    <w:p w14:paraId="1543B6B1">
      <w:r>
        <w:rPr>
          <w:rFonts w:hint="eastAsia"/>
        </w:rPr>
        <w:t>　　合同工程完工证书颁发后的56天内，除了经监理人同意需在缺陷责任期(工程质量保修期)内继续工作和使用的人员、施工设备和临时工程外，其余的人员、施工设备和临时工程均应撤离施工场地或拆除。除合同另有约定外，缺陷责任期(工程质量保修期)满时，承包人的人员和施工设备应全部撤离施工场地。</w:t>
      </w:r>
    </w:p>
    <w:p w14:paraId="3C1D091A">
      <w:pPr>
        <w:rPr>
          <w:b/>
        </w:rPr>
      </w:pPr>
      <w:bookmarkStart w:id="19" w:name="第04章合同条款及格式0119"/>
      <w:bookmarkEnd w:id="19"/>
      <w:r>
        <w:rPr>
          <w:rFonts w:hint="eastAsia"/>
          <w:b/>
        </w:rPr>
        <w:t>19　缺陷责任与保修责任</w:t>
      </w:r>
    </w:p>
    <w:p w14:paraId="291590CB">
      <w:r>
        <w:rPr>
          <w:rFonts w:hint="eastAsia"/>
        </w:rPr>
        <w:t>　　本条全文引用《标准施工招标文件》(2007年版)相应条款，并补充以下内容：</w:t>
      </w:r>
    </w:p>
    <w:p w14:paraId="094960B3">
      <w:r>
        <w:rPr>
          <w:rFonts w:hint="eastAsia"/>
        </w:rPr>
        <w:t>　19.1　缺陷责任期(工程质量保修期)的起算时间</w:t>
      </w:r>
    </w:p>
    <w:p w14:paraId="72572252">
      <w:r>
        <w:rPr>
          <w:rFonts w:hint="eastAsia"/>
        </w:rPr>
        <w:t>　　除专用合同条款另有约定外，缺陷责任期(工程质量保修期)从工程通过合同工程完工验收后开始计算。在合同工程完工验收前，已经发包人提前验收的单位工程或部分工程，若未投入使用，其缺陷责任期(工程质量保修期)亦从工程通过合同工程完工验收后开始计算；若已投入使用，其缺陷责任期(工程质量保修期)从通过单位工程或部分工程投入使用验收后开始计算。缺陷责任期(工程质量保修期)的期限在专用合同条款中约定。</w:t>
      </w:r>
    </w:p>
    <w:p w14:paraId="5B74F306">
      <w:r>
        <w:rPr>
          <w:rFonts w:hint="eastAsia"/>
        </w:rPr>
        <w:t>　19.6　缺陷责任期终止证书(工程质量保修责任终止证书)</w:t>
      </w:r>
    </w:p>
    <w:p w14:paraId="2F11B1C5">
      <w:r>
        <w:rPr>
          <w:rFonts w:hint="eastAsia"/>
        </w:rPr>
        <w:t>　　合同工程完工验收或投入使用验收后，发包人与承包人应办理工程交接手续，承包人应向发包人递交工程质量保修书。</w:t>
      </w:r>
    </w:p>
    <w:p w14:paraId="5926F426">
      <w:r>
        <w:rPr>
          <w:rFonts w:hint="eastAsia"/>
        </w:rPr>
        <w:t>　　缺陷责任期(工程质量保修期)满后30个工作日内，发包人应向承包人颁发工程质量保修责任终止证书，并退还剩余的质量保证金，但保修责任范围内的质量缺陷未处理完成的应除外。</w:t>
      </w:r>
    </w:p>
    <w:p w14:paraId="59B36E88">
      <w:pPr>
        <w:rPr>
          <w:b/>
        </w:rPr>
      </w:pPr>
      <w:bookmarkStart w:id="20" w:name="第04章合同条款及格式0120"/>
      <w:bookmarkEnd w:id="20"/>
      <w:r>
        <w:rPr>
          <w:rFonts w:hint="eastAsia"/>
          <w:b/>
        </w:rPr>
        <w:t>20　保险</w:t>
      </w:r>
    </w:p>
    <w:p w14:paraId="3674B1A0">
      <w:r>
        <w:rPr>
          <w:rFonts w:hint="eastAsia"/>
        </w:rPr>
        <w:t>　　本条全文引用《标准施工招标文件》(2007年版)相应条款，并补充以下内容：</w:t>
      </w:r>
    </w:p>
    <w:p w14:paraId="1C45926D">
      <w:r>
        <w:rPr>
          <w:rFonts w:hint="eastAsia"/>
        </w:rPr>
        <w:t>　20.6　对各项保险的一般要求</w:t>
      </w:r>
    </w:p>
    <w:p w14:paraId="4861C4D3">
      <w:r>
        <w:rPr>
          <w:rFonts w:hint="eastAsia"/>
        </w:rPr>
        <w:t>　　20.6.4　保险金不足以补偿损失时，应由承包人和发包人各自负责补偿的范围和金额在专用合同条款中约定。</w:t>
      </w:r>
    </w:p>
    <w:p w14:paraId="2295427F">
      <w:r>
        <w:rPr>
          <w:rFonts w:hint="eastAsia"/>
        </w:rPr>
        <w:t>　20.7　风险责任的转移</w:t>
      </w:r>
    </w:p>
    <w:p w14:paraId="3A84CCD7">
      <w:r>
        <w:rPr>
          <w:rFonts w:hint="eastAsia"/>
        </w:rPr>
        <w:t>　　工程通过合同工程完工验收并移交给发包人后，原由承包人应承担的风险责任，以及保险的责任、权利和义务同时转移给发包人，但承包人在缺陷责任期(工程质量保修期)前造成损失和损坏情形除外。</w:t>
      </w:r>
    </w:p>
    <w:p w14:paraId="0386E5B2">
      <w:pPr>
        <w:rPr>
          <w:b/>
        </w:rPr>
      </w:pPr>
      <w:bookmarkStart w:id="21" w:name="第04章合同条款及格式0121"/>
      <w:bookmarkEnd w:id="21"/>
      <w:r>
        <w:rPr>
          <w:rFonts w:hint="eastAsia"/>
          <w:b/>
        </w:rPr>
        <w:t>21　不可抗力</w:t>
      </w:r>
    </w:p>
    <w:p w14:paraId="0226A37E">
      <w:r>
        <w:rPr>
          <w:rFonts w:hint="eastAsia"/>
        </w:rPr>
        <w:t>　　本条全文引用《标准施工招标文件》(2007年版)相应条款。</w:t>
      </w:r>
    </w:p>
    <w:p w14:paraId="314AD7A9">
      <w:pPr>
        <w:rPr>
          <w:b/>
        </w:rPr>
      </w:pPr>
      <w:bookmarkStart w:id="22" w:name="第04章合同条款及格式0122"/>
      <w:bookmarkEnd w:id="22"/>
      <w:r>
        <w:rPr>
          <w:rFonts w:hint="eastAsia"/>
          <w:b/>
        </w:rPr>
        <w:t>22　违约</w:t>
      </w:r>
    </w:p>
    <w:p w14:paraId="674AD08E">
      <w:r>
        <w:rPr>
          <w:rFonts w:hint="eastAsia"/>
        </w:rPr>
        <w:t>　　本条全文引用《标准施工招标文件》(2007年版)相应条款，并补充以下内容：</w:t>
      </w:r>
    </w:p>
    <w:p w14:paraId="78BC9218">
      <w:r>
        <w:rPr>
          <w:rFonts w:hint="eastAsia"/>
        </w:rPr>
        <w:t>　22.1　承包人违约</w:t>
      </w:r>
    </w:p>
    <w:p w14:paraId="0989F3C0">
      <w:r>
        <w:rPr>
          <w:rFonts w:hint="eastAsia"/>
        </w:rPr>
        <w:t>　　22.1.1　承包人违约的情形</w:t>
      </w:r>
    </w:p>
    <w:p w14:paraId="7389A0F0">
      <w:r>
        <w:rPr>
          <w:rFonts w:hint="eastAsia"/>
        </w:rPr>
        <w:t>　　在履行合同过程中发生的下列情况属承包人违约：</w:t>
      </w:r>
    </w:p>
    <w:p w14:paraId="25A1775E">
      <w:r>
        <w:rPr>
          <w:rFonts w:hint="eastAsia"/>
        </w:rPr>
        <w:t>　　(1)承包人违反第1.8款或第4.3款的约定，私自将合同的全部或部分权利转让给其他人，或私自将合同的全部或部分义务转移给其他人；</w:t>
      </w:r>
    </w:p>
    <w:p w14:paraId="4D03CF35">
      <w:r>
        <w:rPr>
          <w:rFonts w:hint="eastAsia"/>
        </w:rPr>
        <w:t>　　(2)承包人违反第5.3款或第6.4款的约定，未经监理人批准，私自将已按合同约定进入施工场地的施工设备、临时设施或材料撤离施工场地；</w:t>
      </w:r>
    </w:p>
    <w:p w14:paraId="08A7CFFA">
      <w:r>
        <w:rPr>
          <w:rFonts w:hint="eastAsia"/>
        </w:rPr>
        <w:t>　　(3)承包人违反第5.4款的约定使用了不合格材料或工程设备，工程质量达不到标准要求，又拒绝清除不合格工程；</w:t>
      </w:r>
    </w:p>
    <w:p w14:paraId="6DB64BC4">
      <w:r>
        <w:rPr>
          <w:rFonts w:hint="eastAsia"/>
        </w:rPr>
        <w:t>　　(4)承包人未能按合同进度计划及时完成合同约定的工作，已造成或预期造成工期延误；</w:t>
      </w:r>
    </w:p>
    <w:p w14:paraId="6420DC33">
      <w:r>
        <w:rPr>
          <w:rFonts w:hint="eastAsia"/>
        </w:rPr>
        <w:t>　　(5)承包人在缺陷责任期(工程质量保修期)内，未能对合同工程完工验收鉴定书所列的缺陷清单的内容或缺陷责任期(工程质量保修期)内发生的缺陷进行修复，而又拒绝按监理人指示再进行修补；</w:t>
      </w:r>
    </w:p>
    <w:p w14:paraId="3DB7BEA3">
      <w:r>
        <w:rPr>
          <w:rFonts w:hint="eastAsia"/>
        </w:rPr>
        <w:t>　　(6)承包人无法继续履行或明确表示不履行或实质上已停止履行合同；</w:t>
      </w:r>
    </w:p>
    <w:p w14:paraId="29C20014">
      <w:r>
        <w:rPr>
          <w:rFonts w:hint="eastAsia"/>
        </w:rPr>
        <w:t>　　(7)承包人不按合同约定履行义务的其它情况。</w:t>
      </w:r>
    </w:p>
    <w:p w14:paraId="644EEB7E">
      <w:pPr>
        <w:rPr>
          <w:b/>
        </w:rPr>
      </w:pPr>
      <w:bookmarkStart w:id="23" w:name="第04章合同条款及格式0123"/>
      <w:bookmarkEnd w:id="23"/>
      <w:r>
        <w:rPr>
          <w:rFonts w:hint="eastAsia"/>
          <w:b/>
        </w:rPr>
        <w:t>23　索赔</w:t>
      </w:r>
    </w:p>
    <w:p w14:paraId="04E195CE">
      <w:r>
        <w:rPr>
          <w:rFonts w:hint="eastAsia"/>
        </w:rPr>
        <w:t>　　本条全文引用《标准施工招标文件》(2007年版)相应条款，并补充以下内容：</w:t>
      </w:r>
    </w:p>
    <w:p w14:paraId="59D6D1BF">
      <w:r>
        <w:rPr>
          <w:rFonts w:hint="eastAsia"/>
        </w:rPr>
        <w:t>　23.3　承包人提出索赔的期限</w:t>
      </w:r>
    </w:p>
    <w:p w14:paraId="6D69BC51">
      <w:r>
        <w:rPr>
          <w:rFonts w:hint="eastAsia"/>
        </w:rPr>
        <w:t>　　23.3.1　承包人按第17.5款的约定接受了完工付款证书后，应被认为已无权再提出在合同工程完工证书颁发前所发生的任何索赔。</w:t>
      </w:r>
    </w:p>
    <w:p w14:paraId="56A28C14">
      <w:r>
        <w:rPr>
          <w:rFonts w:hint="eastAsia"/>
        </w:rPr>
        <w:t>　　23.3.2　承包人按第17.6款的约定提交的最终结清申请单中，只限于提出合同工程完工证书颁发后发生的索赔。提出索赔的期限自接受最终结清证书时终止。</w:t>
      </w:r>
    </w:p>
    <w:p w14:paraId="6B3A2D40">
      <w:r>
        <w:rPr>
          <w:rFonts w:hint="eastAsia"/>
        </w:rPr>
        <w:t>　23.4　发包人的索赔</w:t>
      </w:r>
    </w:p>
    <w:p w14:paraId="23515F58">
      <w:r>
        <w:rPr>
          <w:rFonts w:hint="eastAsia"/>
        </w:rPr>
        <w:t>　　23.4.3　承包人对监理人按第23.4.1项发出的索赔书面通知内容持异议时，应在收到书面通知后的14天内，将持有异议的书面报告及其证明材料提交监理人。监理人应在收到承包人书面报告后的14天内，将异议的处理意见通知承包人，并按第23.4.2项的约定执行赔付。若承包人不接受监理人的索赔处理意见，可按本合同第24条的规定办理。</w:t>
      </w:r>
    </w:p>
    <w:p w14:paraId="6E9350D5">
      <w:pPr>
        <w:rPr>
          <w:b/>
        </w:rPr>
      </w:pPr>
      <w:bookmarkStart w:id="24" w:name="第04章合同条款及格式0124"/>
      <w:bookmarkEnd w:id="24"/>
      <w:r>
        <w:rPr>
          <w:rFonts w:hint="eastAsia"/>
          <w:b/>
        </w:rPr>
        <w:t>24　争议的解决</w:t>
      </w:r>
    </w:p>
    <w:p w14:paraId="1ACDD2F2">
      <w:r>
        <w:rPr>
          <w:rFonts w:hint="eastAsia"/>
        </w:rPr>
        <w:t>　　本条全文引用《标准施工招标文件》(2007年版)相应条款，并补充以下内容：</w:t>
      </w:r>
    </w:p>
    <w:p w14:paraId="157A84A9">
      <w:r>
        <w:rPr>
          <w:rFonts w:hint="eastAsia"/>
        </w:rPr>
        <w:t>　24.4　仲裁</w:t>
      </w:r>
    </w:p>
    <w:p w14:paraId="34795965">
      <w:r>
        <w:rPr>
          <w:rFonts w:hint="eastAsia"/>
        </w:rPr>
        <w:t>　　24.4.1　若合同双方商定直接向仲裁机构申请仲裁，应签订仲裁协议并约定仲裁机构。</w:t>
      </w:r>
    </w:p>
    <w:p w14:paraId="3CBB86FC">
      <w:r>
        <w:rPr>
          <w:rFonts w:hint="eastAsia"/>
        </w:rPr>
        <w:t>　　24.4.2　若合同双方未能达成仲裁协议，则本合同的仲裁条款无效，任一方均有权向人民法院提起诉讼。</w:t>
      </w:r>
    </w:p>
    <w:p w14:paraId="5C34491C">
      <w:pPr>
        <w:rPr>
          <w:rFonts w:hint="eastAsia"/>
        </w:rPr>
      </w:pPr>
    </w:p>
    <w:p w14:paraId="6D7EE510">
      <w:pPr>
        <w:jc w:val="center"/>
        <w:rPr>
          <w:rFonts w:eastAsia="黑体"/>
          <w:b/>
          <w:sz w:val="32"/>
          <w:szCs w:val="32"/>
        </w:rPr>
      </w:pPr>
      <w:bookmarkStart w:id="25" w:name="第04章合同条款及格式02"/>
      <w:bookmarkEnd w:id="25"/>
      <w:r>
        <w:rPr>
          <w:rFonts w:hAnsi="黑体" w:eastAsia="黑体"/>
          <w:b/>
          <w:sz w:val="32"/>
          <w:szCs w:val="32"/>
        </w:rPr>
        <w:t>第</w:t>
      </w:r>
      <w:r>
        <w:rPr>
          <w:rFonts w:eastAsia="黑体"/>
          <w:b/>
          <w:sz w:val="32"/>
          <w:szCs w:val="32"/>
        </w:rPr>
        <w:t>2</w:t>
      </w:r>
      <w:r>
        <w:rPr>
          <w:rFonts w:hAnsi="黑体" w:eastAsia="黑体"/>
          <w:b/>
          <w:sz w:val="32"/>
          <w:szCs w:val="32"/>
        </w:rPr>
        <w:t>节　专用合同条款</w:t>
      </w:r>
    </w:p>
    <w:p w14:paraId="1FA1F897">
      <w:pPr>
        <w:rPr>
          <w:b/>
        </w:rPr>
      </w:pPr>
      <w:bookmarkStart w:id="26" w:name="第04章合同条款及格式0201"/>
      <w:bookmarkEnd w:id="26"/>
      <w:r>
        <w:rPr>
          <w:rFonts w:hint="eastAsia"/>
          <w:b/>
        </w:rPr>
        <w:t>1　一般约定</w:t>
      </w:r>
    </w:p>
    <w:p w14:paraId="3F18CF62">
      <w:r>
        <w:rPr>
          <w:rFonts w:hint="eastAsia"/>
        </w:rPr>
        <w:t>　1.1　词语定义</w:t>
      </w:r>
    </w:p>
    <w:p w14:paraId="4F992086">
      <w:r>
        <w:rPr>
          <w:rFonts w:hint="eastAsia"/>
        </w:rPr>
        <w:t>　　1.1.2　合同当事人和人员</w:t>
      </w:r>
    </w:p>
    <w:p w14:paraId="134C2BC2">
      <w:r>
        <w:rPr>
          <w:rFonts w:hint="eastAsia"/>
        </w:rPr>
        <w:t>　　1.1.2.2　发包人：</w:t>
      </w:r>
      <w:r>
        <w:rPr>
          <w:rFonts w:hint="eastAsia"/>
          <w:u w:val="single"/>
        </w:rPr>
        <w:t>　　　</w:t>
      </w:r>
      <w:r>
        <w:rPr>
          <w:rFonts w:hint="eastAsia"/>
        </w:rPr>
        <w:t>(填入发包人的名称)。</w:t>
      </w:r>
    </w:p>
    <w:p w14:paraId="08DF60D7">
      <w:r>
        <w:rPr>
          <w:rFonts w:hint="eastAsia"/>
        </w:rPr>
        <w:t>　　1.1.2.3　承包人：</w:t>
      </w:r>
      <w:r>
        <w:rPr>
          <w:rFonts w:hint="eastAsia"/>
          <w:u w:val="single"/>
        </w:rPr>
        <w:t>　　　</w:t>
      </w:r>
      <w:r>
        <w:rPr>
          <w:rFonts w:hint="eastAsia"/>
        </w:rPr>
        <w:t>(签约后填入承包人的名称)。</w:t>
      </w:r>
    </w:p>
    <w:p w14:paraId="63DC2FD8">
      <w:r>
        <w:rPr>
          <w:rFonts w:hint="eastAsia"/>
        </w:rPr>
        <w:t>　　1.1.2.5　分包人：</w:t>
      </w:r>
      <w:r>
        <w:rPr>
          <w:rFonts w:hint="eastAsia"/>
          <w:u w:val="single"/>
        </w:rPr>
        <w:t>　　　</w:t>
      </w:r>
      <w:r>
        <w:rPr>
          <w:rFonts w:hint="eastAsia"/>
        </w:rPr>
        <w:t>(签约后填入分包人的名称)。</w:t>
      </w:r>
    </w:p>
    <w:p w14:paraId="6D04ECB1">
      <w:r>
        <w:rPr>
          <w:rFonts w:hint="eastAsia"/>
        </w:rPr>
        <w:t>　　1.1.2.6　监理人：</w:t>
      </w:r>
      <w:r>
        <w:rPr>
          <w:rFonts w:hint="eastAsia"/>
          <w:u w:val="single"/>
        </w:rPr>
        <w:t>　　　</w:t>
      </w:r>
      <w:r>
        <w:rPr>
          <w:rFonts w:hint="eastAsia"/>
        </w:rPr>
        <w:t>(填入监理人名称)。</w:t>
      </w:r>
    </w:p>
    <w:p w14:paraId="48364D73">
      <w:r>
        <w:rPr>
          <w:rFonts w:hint="eastAsia"/>
        </w:rPr>
        <w:t>　　1.1.4　日期</w:t>
      </w:r>
    </w:p>
    <w:p w14:paraId="260478E5">
      <w:r>
        <w:rPr>
          <w:rFonts w:hint="eastAsia"/>
        </w:rPr>
        <w:t>　　1.1.4.5　缺陷责任期(工程质量保修期)：</w:t>
      </w:r>
      <w:r>
        <w:rPr>
          <w:rFonts w:hint="eastAsia"/>
          <w:u w:val="single"/>
        </w:rPr>
        <w:t>　　　　　　　　　　　　</w:t>
      </w:r>
      <w:r>
        <w:rPr>
          <w:rFonts w:hint="eastAsia"/>
        </w:rPr>
        <w:t>。</w:t>
      </w:r>
    </w:p>
    <w:p w14:paraId="187A52D3">
      <w:r>
        <w:rPr>
          <w:rFonts w:hint="eastAsia"/>
        </w:rPr>
        <w:t>　1.4　合同文件的优先顺序</w:t>
      </w:r>
    </w:p>
    <w:p w14:paraId="1EEEEDBC">
      <w:r>
        <w:rPr>
          <w:rFonts w:hint="eastAsia"/>
        </w:rPr>
        <w:t>　　进入合同文件的各项文件及其优先顺序是</w:t>
      </w:r>
      <w:r>
        <w:rPr>
          <w:rFonts w:hint="eastAsia"/>
          <w:u w:val="single"/>
        </w:rPr>
        <w:t>　　　　　　　　　　　　　</w:t>
      </w:r>
      <w:r>
        <w:rPr>
          <w:rFonts w:hint="eastAsia"/>
        </w:rPr>
        <w:t>。</w:t>
      </w:r>
    </w:p>
    <w:p w14:paraId="7473211B">
      <w:r>
        <w:rPr>
          <w:rFonts w:hint="eastAsia"/>
        </w:rPr>
        <w:t>　1.7　联络</w:t>
      </w:r>
    </w:p>
    <w:p w14:paraId="7822DEE6">
      <w:r>
        <w:rPr>
          <w:rFonts w:hint="eastAsia"/>
        </w:rPr>
        <w:t>　　1.7.2　来往函件均应按技术标准和要求(合同技术条款)约定的期限送达</w:t>
      </w:r>
      <w:r>
        <w:rPr>
          <w:rFonts w:hint="eastAsia"/>
          <w:u w:val="single"/>
        </w:rPr>
        <w:t>　　　　　</w:t>
      </w:r>
      <w:r>
        <w:rPr>
          <w:rFonts w:hint="eastAsia"/>
        </w:rPr>
        <w:t>(填写文件送达地点)。</w:t>
      </w:r>
    </w:p>
    <w:p w14:paraId="5A7669F8">
      <w:pPr>
        <w:rPr>
          <w:b/>
        </w:rPr>
      </w:pPr>
      <w:bookmarkStart w:id="27" w:name="第04章合同条款及格式0202"/>
      <w:bookmarkEnd w:id="27"/>
      <w:r>
        <w:rPr>
          <w:rFonts w:hint="eastAsia"/>
          <w:b/>
        </w:rPr>
        <w:t>2　发包人义务</w:t>
      </w:r>
    </w:p>
    <w:p w14:paraId="70B15EAB">
      <w:r>
        <w:rPr>
          <w:rFonts w:hint="eastAsia"/>
        </w:rPr>
        <w:t>　2.3　提供施工场地</w:t>
      </w:r>
    </w:p>
    <w:p w14:paraId="734869FC">
      <w:r>
        <w:rPr>
          <w:rFonts w:hint="eastAsia"/>
        </w:rPr>
        <w:t>　　2.3.2　发包人提供的施工场地范围为：</w:t>
      </w:r>
      <w:r>
        <w:rPr>
          <w:rFonts w:hint="eastAsia"/>
          <w:u w:val="single"/>
        </w:rPr>
        <w:t>　　　　　　　　　　</w:t>
      </w:r>
      <w:r>
        <w:rPr>
          <w:rFonts w:hint="eastAsia"/>
        </w:rPr>
        <w:t>。</w:t>
      </w:r>
    </w:p>
    <w:p w14:paraId="30E59033">
      <w:r>
        <w:rPr>
          <w:rFonts w:hint="eastAsia"/>
        </w:rPr>
        <w:t>　　2.3.3　承包人自行勘察的施工场地范围为：</w:t>
      </w:r>
      <w:r>
        <w:rPr>
          <w:rFonts w:hint="eastAsia"/>
          <w:u w:val="single"/>
        </w:rPr>
        <w:t>　　　　　　　　　　</w:t>
      </w:r>
      <w:r>
        <w:rPr>
          <w:rFonts w:hint="eastAsia"/>
        </w:rPr>
        <w:t>。</w:t>
      </w:r>
    </w:p>
    <w:p w14:paraId="090F24AB">
      <w:r>
        <w:rPr>
          <w:rFonts w:hint="eastAsia"/>
        </w:rPr>
        <w:t>　2.8　其它义务</w:t>
      </w:r>
    </w:p>
    <w:p w14:paraId="0BBB1EF3">
      <w:r>
        <w:rPr>
          <w:rFonts w:hint="eastAsia"/>
        </w:rPr>
        <w:t>　　(根据发包人的合同管理要求补充)</w:t>
      </w:r>
    </w:p>
    <w:p w14:paraId="2DD9E1C2">
      <w:r>
        <w:rPr>
          <w:rFonts w:hint="eastAsia"/>
        </w:rPr>
        <w:t>　　(1)……</w:t>
      </w:r>
    </w:p>
    <w:p w14:paraId="51BD378E">
      <w:r>
        <w:rPr>
          <w:rFonts w:hint="eastAsia"/>
        </w:rPr>
        <w:t>　　(2)……</w:t>
      </w:r>
    </w:p>
    <w:p w14:paraId="7738516B">
      <w:pPr>
        <w:rPr>
          <w:b/>
        </w:rPr>
      </w:pPr>
      <w:bookmarkStart w:id="28" w:name="第04章合同条款及格式0203"/>
      <w:bookmarkEnd w:id="28"/>
      <w:r>
        <w:rPr>
          <w:rFonts w:hint="eastAsia"/>
          <w:b/>
        </w:rPr>
        <w:t>3　监理人</w:t>
      </w:r>
    </w:p>
    <w:p w14:paraId="10F38F51">
      <w:r>
        <w:rPr>
          <w:rFonts w:hint="eastAsia"/>
        </w:rPr>
        <w:t>　3.1　监理人的职责和权力</w:t>
      </w:r>
    </w:p>
    <w:p w14:paraId="1F428E24">
      <w:r>
        <w:rPr>
          <w:rFonts w:hint="eastAsia"/>
        </w:rPr>
        <w:t>　　3.1.1　监理人须根据发包人事先批准的权力范围行使权力，发包人批准的权力范围：(填写监理人须经发包人批准才能行使的权力，以下示例供参考)</w:t>
      </w:r>
    </w:p>
    <w:p w14:paraId="04FE0139">
      <w:r>
        <w:rPr>
          <w:rFonts w:hint="eastAsia"/>
        </w:rPr>
        <w:t>　　(1)按第4.3款约定，批准工程的分包；</w:t>
      </w:r>
    </w:p>
    <w:p w14:paraId="681984E9">
      <w:r>
        <w:rPr>
          <w:rFonts w:hint="eastAsia"/>
        </w:rPr>
        <w:t>　　(2)按第11.3款约定，确定延长完工期限；</w:t>
      </w:r>
    </w:p>
    <w:p w14:paraId="2A64790D">
      <w:r>
        <w:rPr>
          <w:rFonts w:hint="eastAsia"/>
        </w:rPr>
        <w:t>　　(3)按第15.6款约定，批准暂列金额的使用；</w:t>
      </w:r>
    </w:p>
    <w:p w14:paraId="5A08C9EA">
      <w:r>
        <w:rPr>
          <w:rFonts w:hint="eastAsia"/>
        </w:rPr>
        <w:t>　　(4)……</w:t>
      </w:r>
    </w:p>
    <w:p w14:paraId="64434303">
      <w:pPr>
        <w:rPr>
          <w:b/>
        </w:rPr>
      </w:pPr>
      <w:bookmarkStart w:id="29" w:name="第04章合同条款及格式0204"/>
      <w:bookmarkEnd w:id="29"/>
      <w:r>
        <w:rPr>
          <w:rFonts w:hint="eastAsia"/>
          <w:b/>
        </w:rPr>
        <w:t>4　承包人</w:t>
      </w:r>
    </w:p>
    <w:p w14:paraId="7184FC9B">
      <w:r>
        <w:rPr>
          <w:rFonts w:hint="eastAsia"/>
        </w:rPr>
        <w:t>　4.1　承包人的一般义务</w:t>
      </w:r>
    </w:p>
    <w:p w14:paraId="0FB954E7">
      <w:r>
        <w:rPr>
          <w:rFonts w:hint="eastAsia"/>
        </w:rPr>
        <w:t>　　4.1.10　其它义务</w:t>
      </w:r>
    </w:p>
    <w:p w14:paraId="25D9E9DE">
      <w:r>
        <w:rPr>
          <w:rFonts w:hint="eastAsia"/>
        </w:rPr>
        <w:t>　　(1)……</w:t>
      </w:r>
    </w:p>
    <w:p w14:paraId="67E61244">
      <w:r>
        <w:rPr>
          <w:rFonts w:hint="eastAsia"/>
        </w:rPr>
        <w:t>　　(2)……</w:t>
      </w:r>
    </w:p>
    <w:p w14:paraId="091118E6">
      <w:r>
        <w:rPr>
          <w:rFonts w:hint="eastAsia"/>
        </w:rPr>
        <w:t>　4.3　分包</w:t>
      </w:r>
    </w:p>
    <w:p w14:paraId="0E6B18E8">
      <w:r>
        <w:rPr>
          <w:rFonts w:hint="eastAsia"/>
        </w:rPr>
        <w:t>　　4.3.2　允许承包人分包的工程项目、工作内容与分包金额限额为：</w:t>
      </w:r>
    </w:p>
    <w:p w14:paraId="248A0B0B">
      <w:r>
        <w:rPr>
          <w:rFonts w:hint="eastAsia"/>
        </w:rPr>
        <w:t>　　(1)工程项目：</w:t>
      </w:r>
      <w:r>
        <w:rPr>
          <w:rFonts w:hint="eastAsia"/>
          <w:u w:val="single"/>
        </w:rPr>
        <w:t>　　　　　　　　　</w:t>
      </w:r>
      <w:r>
        <w:rPr>
          <w:rFonts w:hint="eastAsia"/>
        </w:rPr>
        <w:t>。</w:t>
      </w:r>
    </w:p>
    <w:p w14:paraId="0C132699">
      <w:r>
        <w:rPr>
          <w:rFonts w:hint="eastAsia"/>
        </w:rPr>
        <w:t>　　(2)工作内容：</w:t>
      </w:r>
      <w:r>
        <w:rPr>
          <w:rFonts w:hint="eastAsia"/>
          <w:u w:val="single"/>
        </w:rPr>
        <w:t>　　　　　　　　　　</w:t>
      </w:r>
      <w:r>
        <w:rPr>
          <w:rFonts w:hint="eastAsia"/>
        </w:rPr>
        <w:t>。</w:t>
      </w:r>
    </w:p>
    <w:p w14:paraId="0D293ADC">
      <w:r>
        <w:rPr>
          <w:rFonts w:hint="eastAsia"/>
        </w:rPr>
        <w:t>　　(3)分包金额限额：</w:t>
      </w:r>
      <w:r>
        <w:rPr>
          <w:rFonts w:hint="eastAsia"/>
          <w:u w:val="single"/>
        </w:rPr>
        <w:t>　　　　　　　　　　</w:t>
      </w:r>
      <w:r>
        <w:rPr>
          <w:rFonts w:hint="eastAsia"/>
        </w:rPr>
        <w:t>。</w:t>
      </w:r>
    </w:p>
    <w:p w14:paraId="7C5ECD07">
      <w:r>
        <w:rPr>
          <w:rFonts w:hint="eastAsia"/>
        </w:rPr>
        <w:t>　　4.3.10　分包人项目管理机构的设立：</w:t>
      </w:r>
      <w:r>
        <w:rPr>
          <w:rFonts w:hint="eastAsia"/>
          <w:u w:val="single"/>
        </w:rPr>
        <w:t>　　　　　　　　　　</w:t>
      </w:r>
      <w:r>
        <w:rPr>
          <w:rFonts w:hint="eastAsia"/>
        </w:rPr>
        <w:t>。</w:t>
      </w:r>
    </w:p>
    <w:p w14:paraId="74A6B223">
      <w:r>
        <w:rPr>
          <w:rFonts w:hint="eastAsia"/>
        </w:rPr>
        <w:t>　4.11　不利物质条件</w:t>
      </w:r>
    </w:p>
    <w:p w14:paraId="3FF30A83">
      <w:r>
        <w:rPr>
          <w:rFonts w:hint="eastAsia"/>
        </w:rPr>
        <w:t>　　4.11.1　不利物质条件的范围：</w:t>
      </w:r>
      <w:r>
        <w:rPr>
          <w:rFonts w:hint="eastAsia"/>
          <w:u w:val="single"/>
        </w:rPr>
        <w:t>　　　　　　　　　　</w:t>
      </w:r>
      <w:r>
        <w:rPr>
          <w:rFonts w:hint="eastAsia"/>
        </w:rPr>
        <w:t>。</w:t>
      </w:r>
    </w:p>
    <w:p w14:paraId="379D9E2F">
      <w:pPr>
        <w:rPr>
          <w:b/>
        </w:rPr>
      </w:pPr>
      <w:bookmarkStart w:id="30" w:name="第04章合同条款及格式0205"/>
      <w:bookmarkEnd w:id="30"/>
      <w:r>
        <w:rPr>
          <w:rFonts w:hint="eastAsia"/>
          <w:b/>
        </w:rPr>
        <w:t>5　材料和工程设备</w:t>
      </w:r>
    </w:p>
    <w:p w14:paraId="09FA6981">
      <w:r>
        <w:rPr>
          <w:rFonts w:hint="eastAsia"/>
        </w:rPr>
        <w:t>　5.2　发包人提供的材料和工程设备</w:t>
      </w:r>
    </w:p>
    <w:p w14:paraId="40269172">
      <w:r>
        <w:rPr>
          <w:rFonts w:hint="eastAsia"/>
        </w:rPr>
        <w:t>　　5.2.1　发包人提供的材料和工程设备见下表：</w:t>
      </w:r>
    </w:p>
    <w:p w14:paraId="343DFB57">
      <w:pPr>
        <w:jc w:val="center"/>
        <w:rPr>
          <w:b/>
        </w:rPr>
      </w:pPr>
      <w:r>
        <w:rPr>
          <w:rFonts w:hint="eastAsia"/>
          <w:b/>
        </w:rPr>
        <w:t>发包人提供的材料表(参考格式)</w:t>
      </w:r>
    </w:p>
    <w:tbl>
      <w:tblPr>
        <w:tblStyle w:val="2"/>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76"/>
        <w:gridCol w:w="1303"/>
        <w:gridCol w:w="1302"/>
        <w:gridCol w:w="676"/>
        <w:gridCol w:w="1302"/>
        <w:gridCol w:w="1052"/>
        <w:gridCol w:w="1428"/>
        <w:gridCol w:w="675"/>
      </w:tblGrid>
      <w:tr w14:paraId="456CD2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9" w:type="dxa"/>
            <w:noWrap w:val="0"/>
            <w:vAlign w:val="center"/>
          </w:tcPr>
          <w:p w14:paraId="2DB81B17">
            <w:pPr>
              <w:jc w:val="center"/>
              <w:rPr>
                <w:rFonts w:hint="eastAsia"/>
              </w:rPr>
            </w:pPr>
            <w:r>
              <w:rPr>
                <w:rFonts w:hint="eastAsia"/>
              </w:rPr>
              <w:t>序号</w:t>
            </w:r>
          </w:p>
        </w:tc>
        <w:tc>
          <w:tcPr>
            <w:tcW w:w="1418" w:type="dxa"/>
            <w:noWrap w:val="0"/>
            <w:vAlign w:val="center"/>
          </w:tcPr>
          <w:p w14:paraId="7FB88F68">
            <w:pPr>
              <w:jc w:val="center"/>
              <w:rPr>
                <w:rFonts w:hint="eastAsia"/>
              </w:rPr>
            </w:pPr>
            <w:r>
              <w:rPr>
                <w:rFonts w:hint="eastAsia"/>
              </w:rPr>
              <w:t>材料名称</w:t>
            </w:r>
          </w:p>
        </w:tc>
        <w:tc>
          <w:tcPr>
            <w:tcW w:w="1417" w:type="dxa"/>
            <w:noWrap w:val="0"/>
            <w:vAlign w:val="center"/>
          </w:tcPr>
          <w:p w14:paraId="5D8CC891">
            <w:pPr>
              <w:jc w:val="center"/>
              <w:rPr>
                <w:rFonts w:hint="eastAsia"/>
              </w:rPr>
            </w:pPr>
            <w:r>
              <w:rPr>
                <w:rFonts w:hint="eastAsia"/>
              </w:rPr>
              <w:t>材料规格</w:t>
            </w:r>
          </w:p>
        </w:tc>
        <w:tc>
          <w:tcPr>
            <w:tcW w:w="709" w:type="dxa"/>
            <w:noWrap w:val="0"/>
            <w:vAlign w:val="center"/>
          </w:tcPr>
          <w:p w14:paraId="3D4B92F7">
            <w:pPr>
              <w:jc w:val="center"/>
              <w:rPr>
                <w:rFonts w:hint="eastAsia"/>
              </w:rPr>
            </w:pPr>
            <w:r>
              <w:rPr>
                <w:rFonts w:hint="eastAsia"/>
              </w:rPr>
              <w:t>数量</w:t>
            </w:r>
          </w:p>
        </w:tc>
        <w:tc>
          <w:tcPr>
            <w:tcW w:w="1417" w:type="dxa"/>
            <w:noWrap w:val="0"/>
            <w:vAlign w:val="center"/>
          </w:tcPr>
          <w:p w14:paraId="78FB1599">
            <w:pPr>
              <w:jc w:val="center"/>
              <w:rPr>
                <w:rFonts w:hint="eastAsia"/>
              </w:rPr>
            </w:pPr>
            <w:r>
              <w:rPr>
                <w:rFonts w:hint="eastAsia"/>
              </w:rPr>
              <w:t>交货地点</w:t>
            </w:r>
          </w:p>
        </w:tc>
        <w:tc>
          <w:tcPr>
            <w:tcW w:w="1134" w:type="dxa"/>
            <w:noWrap w:val="0"/>
            <w:vAlign w:val="center"/>
          </w:tcPr>
          <w:p w14:paraId="5A5E3B97">
            <w:pPr>
              <w:jc w:val="center"/>
              <w:rPr>
                <w:rFonts w:hint="eastAsia"/>
              </w:rPr>
            </w:pPr>
            <w:r>
              <w:rPr>
                <w:rFonts w:hint="eastAsia"/>
              </w:rPr>
              <w:t>交货方式</w:t>
            </w:r>
          </w:p>
        </w:tc>
        <w:tc>
          <w:tcPr>
            <w:tcW w:w="1560" w:type="dxa"/>
            <w:noWrap w:val="0"/>
            <w:vAlign w:val="center"/>
          </w:tcPr>
          <w:p w14:paraId="1DA0E98A">
            <w:pPr>
              <w:jc w:val="center"/>
              <w:rPr>
                <w:rFonts w:hint="eastAsia"/>
              </w:rPr>
            </w:pPr>
            <w:r>
              <w:rPr>
                <w:rFonts w:hint="eastAsia"/>
              </w:rPr>
              <w:t>计划交货日期</w:t>
            </w:r>
          </w:p>
        </w:tc>
        <w:tc>
          <w:tcPr>
            <w:tcW w:w="708" w:type="dxa"/>
            <w:noWrap w:val="0"/>
            <w:vAlign w:val="center"/>
          </w:tcPr>
          <w:p w14:paraId="57F5BF9E">
            <w:pPr>
              <w:jc w:val="center"/>
            </w:pPr>
            <w:r>
              <w:rPr>
                <w:rFonts w:hint="eastAsia"/>
              </w:rPr>
              <w:t>备注</w:t>
            </w:r>
          </w:p>
        </w:tc>
      </w:tr>
      <w:tr w14:paraId="0D21C7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9" w:type="dxa"/>
            <w:noWrap w:val="0"/>
            <w:vAlign w:val="center"/>
          </w:tcPr>
          <w:p w14:paraId="36B389FA">
            <w:pPr>
              <w:jc w:val="center"/>
              <w:rPr>
                <w:rFonts w:hint="eastAsia"/>
              </w:rPr>
            </w:pPr>
          </w:p>
        </w:tc>
        <w:tc>
          <w:tcPr>
            <w:tcW w:w="1418" w:type="dxa"/>
            <w:noWrap w:val="0"/>
            <w:vAlign w:val="center"/>
          </w:tcPr>
          <w:p w14:paraId="3B72472A">
            <w:pPr>
              <w:jc w:val="center"/>
              <w:rPr>
                <w:rFonts w:hint="eastAsia"/>
              </w:rPr>
            </w:pPr>
          </w:p>
        </w:tc>
        <w:tc>
          <w:tcPr>
            <w:tcW w:w="1417" w:type="dxa"/>
            <w:noWrap w:val="0"/>
            <w:vAlign w:val="center"/>
          </w:tcPr>
          <w:p w14:paraId="6BDE13E0">
            <w:pPr>
              <w:jc w:val="center"/>
              <w:rPr>
                <w:rFonts w:hint="eastAsia"/>
              </w:rPr>
            </w:pPr>
          </w:p>
        </w:tc>
        <w:tc>
          <w:tcPr>
            <w:tcW w:w="709" w:type="dxa"/>
            <w:noWrap w:val="0"/>
            <w:vAlign w:val="center"/>
          </w:tcPr>
          <w:p w14:paraId="4541F4A9">
            <w:pPr>
              <w:jc w:val="center"/>
              <w:rPr>
                <w:rFonts w:hint="eastAsia"/>
              </w:rPr>
            </w:pPr>
          </w:p>
        </w:tc>
        <w:tc>
          <w:tcPr>
            <w:tcW w:w="1417" w:type="dxa"/>
            <w:noWrap w:val="0"/>
            <w:vAlign w:val="center"/>
          </w:tcPr>
          <w:p w14:paraId="4C8381F8">
            <w:pPr>
              <w:jc w:val="center"/>
              <w:rPr>
                <w:rFonts w:hint="eastAsia"/>
              </w:rPr>
            </w:pPr>
          </w:p>
        </w:tc>
        <w:tc>
          <w:tcPr>
            <w:tcW w:w="1134" w:type="dxa"/>
            <w:noWrap w:val="0"/>
            <w:vAlign w:val="center"/>
          </w:tcPr>
          <w:p w14:paraId="405DE533">
            <w:pPr>
              <w:jc w:val="center"/>
              <w:rPr>
                <w:rFonts w:hint="eastAsia"/>
              </w:rPr>
            </w:pPr>
          </w:p>
        </w:tc>
        <w:tc>
          <w:tcPr>
            <w:tcW w:w="1560" w:type="dxa"/>
            <w:noWrap w:val="0"/>
            <w:vAlign w:val="center"/>
          </w:tcPr>
          <w:p w14:paraId="2FD89896">
            <w:pPr>
              <w:jc w:val="center"/>
              <w:rPr>
                <w:rFonts w:hint="eastAsia"/>
              </w:rPr>
            </w:pPr>
          </w:p>
        </w:tc>
        <w:tc>
          <w:tcPr>
            <w:tcW w:w="708" w:type="dxa"/>
            <w:noWrap w:val="0"/>
            <w:vAlign w:val="center"/>
          </w:tcPr>
          <w:p w14:paraId="02A8C70E">
            <w:pPr>
              <w:jc w:val="center"/>
              <w:rPr>
                <w:rFonts w:hint="eastAsia"/>
              </w:rPr>
            </w:pPr>
          </w:p>
        </w:tc>
      </w:tr>
      <w:tr w14:paraId="4186CD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9" w:type="dxa"/>
            <w:noWrap w:val="0"/>
            <w:vAlign w:val="center"/>
          </w:tcPr>
          <w:p w14:paraId="46F935A9">
            <w:pPr>
              <w:jc w:val="center"/>
              <w:rPr>
                <w:rFonts w:hint="eastAsia"/>
              </w:rPr>
            </w:pPr>
          </w:p>
        </w:tc>
        <w:tc>
          <w:tcPr>
            <w:tcW w:w="1418" w:type="dxa"/>
            <w:noWrap w:val="0"/>
            <w:vAlign w:val="center"/>
          </w:tcPr>
          <w:p w14:paraId="7EE81B76">
            <w:pPr>
              <w:jc w:val="center"/>
              <w:rPr>
                <w:rFonts w:hint="eastAsia"/>
              </w:rPr>
            </w:pPr>
          </w:p>
        </w:tc>
        <w:tc>
          <w:tcPr>
            <w:tcW w:w="1417" w:type="dxa"/>
            <w:noWrap w:val="0"/>
            <w:vAlign w:val="center"/>
          </w:tcPr>
          <w:p w14:paraId="37D0BECF">
            <w:pPr>
              <w:jc w:val="center"/>
              <w:rPr>
                <w:rFonts w:hint="eastAsia"/>
              </w:rPr>
            </w:pPr>
          </w:p>
        </w:tc>
        <w:tc>
          <w:tcPr>
            <w:tcW w:w="709" w:type="dxa"/>
            <w:noWrap w:val="0"/>
            <w:vAlign w:val="center"/>
          </w:tcPr>
          <w:p w14:paraId="3F8A7055">
            <w:pPr>
              <w:jc w:val="center"/>
              <w:rPr>
                <w:rFonts w:hint="eastAsia"/>
              </w:rPr>
            </w:pPr>
          </w:p>
        </w:tc>
        <w:tc>
          <w:tcPr>
            <w:tcW w:w="1417" w:type="dxa"/>
            <w:noWrap w:val="0"/>
            <w:vAlign w:val="center"/>
          </w:tcPr>
          <w:p w14:paraId="13D61F83">
            <w:pPr>
              <w:jc w:val="center"/>
              <w:rPr>
                <w:rFonts w:hint="eastAsia"/>
              </w:rPr>
            </w:pPr>
          </w:p>
        </w:tc>
        <w:tc>
          <w:tcPr>
            <w:tcW w:w="1134" w:type="dxa"/>
            <w:noWrap w:val="0"/>
            <w:vAlign w:val="center"/>
          </w:tcPr>
          <w:p w14:paraId="37E72ED3">
            <w:pPr>
              <w:jc w:val="center"/>
              <w:rPr>
                <w:rFonts w:hint="eastAsia"/>
              </w:rPr>
            </w:pPr>
          </w:p>
        </w:tc>
        <w:tc>
          <w:tcPr>
            <w:tcW w:w="1560" w:type="dxa"/>
            <w:noWrap w:val="0"/>
            <w:vAlign w:val="center"/>
          </w:tcPr>
          <w:p w14:paraId="25C06814">
            <w:pPr>
              <w:jc w:val="center"/>
              <w:rPr>
                <w:rFonts w:hint="eastAsia"/>
              </w:rPr>
            </w:pPr>
          </w:p>
        </w:tc>
        <w:tc>
          <w:tcPr>
            <w:tcW w:w="708" w:type="dxa"/>
            <w:noWrap w:val="0"/>
            <w:vAlign w:val="center"/>
          </w:tcPr>
          <w:p w14:paraId="09E0E487">
            <w:pPr>
              <w:jc w:val="center"/>
              <w:rPr>
                <w:rFonts w:hint="eastAsia"/>
              </w:rPr>
            </w:pPr>
          </w:p>
        </w:tc>
      </w:tr>
      <w:tr w14:paraId="189AF9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9" w:type="dxa"/>
            <w:noWrap w:val="0"/>
            <w:vAlign w:val="center"/>
          </w:tcPr>
          <w:p w14:paraId="42B7D0F2">
            <w:pPr>
              <w:jc w:val="center"/>
              <w:rPr>
                <w:rFonts w:hint="eastAsia"/>
              </w:rPr>
            </w:pPr>
          </w:p>
        </w:tc>
        <w:tc>
          <w:tcPr>
            <w:tcW w:w="1418" w:type="dxa"/>
            <w:noWrap w:val="0"/>
            <w:vAlign w:val="center"/>
          </w:tcPr>
          <w:p w14:paraId="4BBF8499">
            <w:pPr>
              <w:jc w:val="center"/>
              <w:rPr>
                <w:rFonts w:hint="eastAsia"/>
              </w:rPr>
            </w:pPr>
          </w:p>
        </w:tc>
        <w:tc>
          <w:tcPr>
            <w:tcW w:w="1417" w:type="dxa"/>
            <w:noWrap w:val="0"/>
            <w:vAlign w:val="center"/>
          </w:tcPr>
          <w:p w14:paraId="3A595A77">
            <w:pPr>
              <w:jc w:val="center"/>
              <w:rPr>
                <w:rFonts w:hint="eastAsia"/>
              </w:rPr>
            </w:pPr>
          </w:p>
        </w:tc>
        <w:tc>
          <w:tcPr>
            <w:tcW w:w="709" w:type="dxa"/>
            <w:noWrap w:val="0"/>
            <w:vAlign w:val="center"/>
          </w:tcPr>
          <w:p w14:paraId="4D203482">
            <w:pPr>
              <w:jc w:val="center"/>
              <w:rPr>
                <w:rFonts w:hint="eastAsia"/>
              </w:rPr>
            </w:pPr>
          </w:p>
        </w:tc>
        <w:tc>
          <w:tcPr>
            <w:tcW w:w="1417" w:type="dxa"/>
            <w:noWrap w:val="0"/>
            <w:vAlign w:val="center"/>
          </w:tcPr>
          <w:p w14:paraId="54ED7DC8">
            <w:pPr>
              <w:jc w:val="center"/>
              <w:rPr>
                <w:rFonts w:hint="eastAsia"/>
              </w:rPr>
            </w:pPr>
          </w:p>
        </w:tc>
        <w:tc>
          <w:tcPr>
            <w:tcW w:w="1134" w:type="dxa"/>
            <w:noWrap w:val="0"/>
            <w:vAlign w:val="center"/>
          </w:tcPr>
          <w:p w14:paraId="7B269DC3">
            <w:pPr>
              <w:jc w:val="center"/>
              <w:rPr>
                <w:rFonts w:hint="eastAsia"/>
              </w:rPr>
            </w:pPr>
          </w:p>
        </w:tc>
        <w:tc>
          <w:tcPr>
            <w:tcW w:w="1560" w:type="dxa"/>
            <w:noWrap w:val="0"/>
            <w:vAlign w:val="center"/>
          </w:tcPr>
          <w:p w14:paraId="4487FD94">
            <w:pPr>
              <w:jc w:val="center"/>
              <w:rPr>
                <w:rFonts w:hint="eastAsia"/>
              </w:rPr>
            </w:pPr>
          </w:p>
        </w:tc>
        <w:tc>
          <w:tcPr>
            <w:tcW w:w="708" w:type="dxa"/>
            <w:noWrap w:val="0"/>
            <w:vAlign w:val="center"/>
          </w:tcPr>
          <w:p w14:paraId="55B08C14">
            <w:pPr>
              <w:jc w:val="center"/>
              <w:rPr>
                <w:rFonts w:hint="eastAsia"/>
              </w:rPr>
            </w:pPr>
          </w:p>
        </w:tc>
      </w:tr>
    </w:tbl>
    <w:p w14:paraId="7C7F3BCD">
      <w:pPr>
        <w:rPr>
          <w:rFonts w:hint="eastAsia"/>
        </w:rPr>
      </w:pPr>
    </w:p>
    <w:p w14:paraId="054B1CD4">
      <w:pPr>
        <w:jc w:val="center"/>
        <w:rPr>
          <w:b/>
        </w:rPr>
      </w:pPr>
      <w:r>
        <w:rPr>
          <w:rFonts w:hint="eastAsia"/>
          <w:b/>
        </w:rPr>
        <w:t>发包人提供的工程设备表(参考格式)</w:t>
      </w:r>
    </w:p>
    <w:tbl>
      <w:tblPr>
        <w:tblStyle w:val="2"/>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69"/>
        <w:gridCol w:w="1521"/>
        <w:gridCol w:w="1156"/>
        <w:gridCol w:w="813"/>
        <w:gridCol w:w="1063"/>
        <w:gridCol w:w="1063"/>
        <w:gridCol w:w="1441"/>
        <w:gridCol w:w="688"/>
      </w:tblGrid>
      <w:tr w14:paraId="2031F9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9" w:type="dxa"/>
            <w:noWrap w:val="0"/>
            <w:vAlign w:val="center"/>
          </w:tcPr>
          <w:p w14:paraId="2E4D466C">
            <w:pPr>
              <w:jc w:val="center"/>
              <w:rPr>
                <w:rFonts w:hint="eastAsia"/>
              </w:rPr>
            </w:pPr>
            <w:r>
              <w:rPr>
                <w:rFonts w:hint="eastAsia"/>
              </w:rPr>
              <w:t>序号</w:t>
            </w:r>
          </w:p>
        </w:tc>
        <w:tc>
          <w:tcPr>
            <w:tcW w:w="1701" w:type="dxa"/>
            <w:noWrap w:val="0"/>
            <w:vAlign w:val="center"/>
          </w:tcPr>
          <w:p w14:paraId="2F1CBD90">
            <w:pPr>
              <w:jc w:val="center"/>
              <w:rPr>
                <w:rFonts w:hint="eastAsia"/>
              </w:rPr>
            </w:pPr>
            <w:r>
              <w:rPr>
                <w:rFonts w:hint="eastAsia"/>
              </w:rPr>
              <w:t>工程设备名称</w:t>
            </w:r>
          </w:p>
        </w:tc>
        <w:tc>
          <w:tcPr>
            <w:tcW w:w="1276" w:type="dxa"/>
            <w:noWrap w:val="0"/>
            <w:vAlign w:val="center"/>
          </w:tcPr>
          <w:p w14:paraId="1F13F0BB">
            <w:pPr>
              <w:jc w:val="center"/>
              <w:rPr>
                <w:rFonts w:hint="eastAsia"/>
              </w:rPr>
            </w:pPr>
            <w:r>
              <w:rPr>
                <w:rFonts w:hint="eastAsia"/>
              </w:rPr>
              <w:t>型号及规格</w:t>
            </w:r>
          </w:p>
        </w:tc>
        <w:tc>
          <w:tcPr>
            <w:tcW w:w="877" w:type="dxa"/>
            <w:noWrap w:val="0"/>
            <w:vAlign w:val="center"/>
          </w:tcPr>
          <w:p w14:paraId="01B14C85">
            <w:pPr>
              <w:jc w:val="center"/>
              <w:rPr>
                <w:rFonts w:hint="eastAsia"/>
              </w:rPr>
            </w:pPr>
            <w:r>
              <w:rPr>
                <w:rFonts w:hint="eastAsia"/>
              </w:rPr>
              <w:t>数量</w:t>
            </w:r>
          </w:p>
        </w:tc>
        <w:tc>
          <w:tcPr>
            <w:tcW w:w="1168" w:type="dxa"/>
            <w:noWrap w:val="0"/>
            <w:vAlign w:val="center"/>
          </w:tcPr>
          <w:p w14:paraId="5722EC6E">
            <w:pPr>
              <w:jc w:val="center"/>
              <w:rPr>
                <w:rFonts w:hint="eastAsia"/>
              </w:rPr>
            </w:pPr>
            <w:r>
              <w:rPr>
                <w:rFonts w:hint="eastAsia"/>
              </w:rPr>
              <w:t>交货地点</w:t>
            </w:r>
          </w:p>
        </w:tc>
        <w:tc>
          <w:tcPr>
            <w:tcW w:w="1168" w:type="dxa"/>
            <w:noWrap w:val="0"/>
            <w:vAlign w:val="center"/>
          </w:tcPr>
          <w:p w14:paraId="49E69B07">
            <w:pPr>
              <w:jc w:val="center"/>
              <w:rPr>
                <w:rFonts w:hint="eastAsia"/>
              </w:rPr>
            </w:pPr>
            <w:r>
              <w:rPr>
                <w:rFonts w:hint="eastAsia"/>
              </w:rPr>
              <w:t>交货方式</w:t>
            </w:r>
          </w:p>
        </w:tc>
        <w:tc>
          <w:tcPr>
            <w:tcW w:w="1606" w:type="dxa"/>
            <w:noWrap w:val="0"/>
            <w:vAlign w:val="center"/>
          </w:tcPr>
          <w:p w14:paraId="1021513D">
            <w:pPr>
              <w:jc w:val="center"/>
              <w:rPr>
                <w:rFonts w:hint="eastAsia"/>
              </w:rPr>
            </w:pPr>
            <w:r>
              <w:rPr>
                <w:rFonts w:hint="eastAsia"/>
              </w:rPr>
              <w:t>计划交货日期</w:t>
            </w:r>
          </w:p>
        </w:tc>
        <w:tc>
          <w:tcPr>
            <w:tcW w:w="730" w:type="dxa"/>
            <w:noWrap w:val="0"/>
            <w:vAlign w:val="center"/>
          </w:tcPr>
          <w:p w14:paraId="55C76265">
            <w:pPr>
              <w:jc w:val="center"/>
            </w:pPr>
            <w:r>
              <w:rPr>
                <w:rFonts w:hint="eastAsia"/>
              </w:rPr>
              <w:t>备注</w:t>
            </w:r>
          </w:p>
        </w:tc>
      </w:tr>
      <w:tr w14:paraId="7B66B6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9" w:type="dxa"/>
            <w:noWrap w:val="0"/>
            <w:vAlign w:val="center"/>
          </w:tcPr>
          <w:p w14:paraId="3266E04E">
            <w:pPr>
              <w:jc w:val="center"/>
              <w:rPr>
                <w:rFonts w:hint="eastAsia"/>
              </w:rPr>
            </w:pPr>
          </w:p>
        </w:tc>
        <w:tc>
          <w:tcPr>
            <w:tcW w:w="1701" w:type="dxa"/>
            <w:noWrap w:val="0"/>
            <w:vAlign w:val="center"/>
          </w:tcPr>
          <w:p w14:paraId="0BD0E18D">
            <w:pPr>
              <w:jc w:val="center"/>
              <w:rPr>
                <w:rFonts w:hint="eastAsia"/>
              </w:rPr>
            </w:pPr>
          </w:p>
        </w:tc>
        <w:tc>
          <w:tcPr>
            <w:tcW w:w="1276" w:type="dxa"/>
            <w:noWrap w:val="0"/>
            <w:vAlign w:val="center"/>
          </w:tcPr>
          <w:p w14:paraId="587C505A">
            <w:pPr>
              <w:jc w:val="center"/>
              <w:rPr>
                <w:rFonts w:hint="eastAsia"/>
              </w:rPr>
            </w:pPr>
          </w:p>
        </w:tc>
        <w:tc>
          <w:tcPr>
            <w:tcW w:w="877" w:type="dxa"/>
            <w:noWrap w:val="0"/>
            <w:vAlign w:val="center"/>
          </w:tcPr>
          <w:p w14:paraId="5643B26C">
            <w:pPr>
              <w:jc w:val="center"/>
              <w:rPr>
                <w:rFonts w:hint="eastAsia"/>
              </w:rPr>
            </w:pPr>
          </w:p>
        </w:tc>
        <w:tc>
          <w:tcPr>
            <w:tcW w:w="1168" w:type="dxa"/>
            <w:noWrap w:val="0"/>
            <w:vAlign w:val="center"/>
          </w:tcPr>
          <w:p w14:paraId="5CAA3C3B">
            <w:pPr>
              <w:jc w:val="center"/>
              <w:rPr>
                <w:rFonts w:hint="eastAsia"/>
              </w:rPr>
            </w:pPr>
          </w:p>
        </w:tc>
        <w:tc>
          <w:tcPr>
            <w:tcW w:w="1168" w:type="dxa"/>
            <w:noWrap w:val="0"/>
            <w:vAlign w:val="center"/>
          </w:tcPr>
          <w:p w14:paraId="21A7FE0A">
            <w:pPr>
              <w:jc w:val="center"/>
              <w:rPr>
                <w:rFonts w:hint="eastAsia"/>
              </w:rPr>
            </w:pPr>
          </w:p>
        </w:tc>
        <w:tc>
          <w:tcPr>
            <w:tcW w:w="1606" w:type="dxa"/>
            <w:noWrap w:val="0"/>
            <w:vAlign w:val="center"/>
          </w:tcPr>
          <w:p w14:paraId="676DFDDC">
            <w:pPr>
              <w:jc w:val="center"/>
              <w:rPr>
                <w:rFonts w:hint="eastAsia"/>
              </w:rPr>
            </w:pPr>
          </w:p>
        </w:tc>
        <w:tc>
          <w:tcPr>
            <w:tcW w:w="730" w:type="dxa"/>
            <w:noWrap w:val="0"/>
            <w:vAlign w:val="center"/>
          </w:tcPr>
          <w:p w14:paraId="24170F6E">
            <w:pPr>
              <w:jc w:val="center"/>
              <w:rPr>
                <w:rFonts w:hint="eastAsia"/>
              </w:rPr>
            </w:pPr>
          </w:p>
        </w:tc>
      </w:tr>
      <w:tr w14:paraId="47A7B4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9" w:type="dxa"/>
            <w:noWrap w:val="0"/>
            <w:vAlign w:val="center"/>
          </w:tcPr>
          <w:p w14:paraId="57B58FD1">
            <w:pPr>
              <w:jc w:val="center"/>
              <w:rPr>
                <w:rFonts w:hint="eastAsia"/>
              </w:rPr>
            </w:pPr>
          </w:p>
        </w:tc>
        <w:tc>
          <w:tcPr>
            <w:tcW w:w="1701" w:type="dxa"/>
            <w:noWrap w:val="0"/>
            <w:vAlign w:val="center"/>
          </w:tcPr>
          <w:p w14:paraId="7423AC34">
            <w:pPr>
              <w:jc w:val="center"/>
              <w:rPr>
                <w:rFonts w:hint="eastAsia"/>
              </w:rPr>
            </w:pPr>
          </w:p>
        </w:tc>
        <w:tc>
          <w:tcPr>
            <w:tcW w:w="1276" w:type="dxa"/>
            <w:noWrap w:val="0"/>
            <w:vAlign w:val="center"/>
          </w:tcPr>
          <w:p w14:paraId="3203A9DC">
            <w:pPr>
              <w:jc w:val="center"/>
              <w:rPr>
                <w:rFonts w:hint="eastAsia"/>
              </w:rPr>
            </w:pPr>
          </w:p>
        </w:tc>
        <w:tc>
          <w:tcPr>
            <w:tcW w:w="877" w:type="dxa"/>
            <w:noWrap w:val="0"/>
            <w:vAlign w:val="center"/>
          </w:tcPr>
          <w:p w14:paraId="6903A20F">
            <w:pPr>
              <w:jc w:val="center"/>
              <w:rPr>
                <w:rFonts w:hint="eastAsia"/>
              </w:rPr>
            </w:pPr>
          </w:p>
        </w:tc>
        <w:tc>
          <w:tcPr>
            <w:tcW w:w="1168" w:type="dxa"/>
            <w:noWrap w:val="0"/>
            <w:vAlign w:val="center"/>
          </w:tcPr>
          <w:p w14:paraId="22556234">
            <w:pPr>
              <w:jc w:val="center"/>
              <w:rPr>
                <w:rFonts w:hint="eastAsia"/>
              </w:rPr>
            </w:pPr>
          </w:p>
        </w:tc>
        <w:tc>
          <w:tcPr>
            <w:tcW w:w="1168" w:type="dxa"/>
            <w:noWrap w:val="0"/>
            <w:vAlign w:val="center"/>
          </w:tcPr>
          <w:p w14:paraId="2DA97212">
            <w:pPr>
              <w:jc w:val="center"/>
              <w:rPr>
                <w:rFonts w:hint="eastAsia"/>
              </w:rPr>
            </w:pPr>
          </w:p>
        </w:tc>
        <w:tc>
          <w:tcPr>
            <w:tcW w:w="1606" w:type="dxa"/>
            <w:noWrap w:val="0"/>
            <w:vAlign w:val="center"/>
          </w:tcPr>
          <w:p w14:paraId="39B88195">
            <w:pPr>
              <w:jc w:val="center"/>
              <w:rPr>
                <w:rFonts w:hint="eastAsia"/>
              </w:rPr>
            </w:pPr>
          </w:p>
        </w:tc>
        <w:tc>
          <w:tcPr>
            <w:tcW w:w="730" w:type="dxa"/>
            <w:noWrap w:val="0"/>
            <w:vAlign w:val="center"/>
          </w:tcPr>
          <w:p w14:paraId="78DEE932">
            <w:pPr>
              <w:jc w:val="center"/>
              <w:rPr>
                <w:rFonts w:hint="eastAsia"/>
              </w:rPr>
            </w:pPr>
          </w:p>
        </w:tc>
      </w:tr>
    </w:tbl>
    <w:p w14:paraId="219BFE1C">
      <w:pPr>
        <w:rPr>
          <w:b/>
        </w:rPr>
      </w:pPr>
      <w:bookmarkStart w:id="31" w:name="第04章合同条款及格式0206"/>
      <w:bookmarkEnd w:id="31"/>
      <w:r>
        <w:rPr>
          <w:rFonts w:hint="eastAsia"/>
          <w:b/>
        </w:rPr>
        <w:t>6　施工设备和临时设施</w:t>
      </w:r>
    </w:p>
    <w:p w14:paraId="3AC32F94">
      <w:r>
        <w:rPr>
          <w:rFonts w:hint="eastAsia"/>
        </w:rPr>
        <w:t>　6.2　发包人提供的施工设备和临时设施</w:t>
      </w:r>
    </w:p>
    <w:p w14:paraId="013BAA88">
      <w:r>
        <w:rPr>
          <w:rFonts w:hint="eastAsia"/>
        </w:rPr>
        <w:t>　　(1)发包人提供的施工设备见下表：</w:t>
      </w:r>
    </w:p>
    <w:p w14:paraId="1A64F863">
      <w:pPr>
        <w:rPr>
          <w:rFonts w:hint="eastAsia"/>
        </w:rPr>
      </w:pPr>
    </w:p>
    <w:p w14:paraId="3B82CEDE">
      <w:pPr>
        <w:jc w:val="center"/>
        <w:rPr>
          <w:rFonts w:hint="eastAsia"/>
          <w:b/>
        </w:rPr>
      </w:pPr>
      <w:r>
        <w:rPr>
          <w:rFonts w:hint="eastAsia"/>
          <w:b/>
        </w:rPr>
        <w:t>发包人提供的施工设备表(参考格式)</w:t>
      </w:r>
    </w:p>
    <w:tbl>
      <w:tblPr>
        <w:tblStyle w:val="2"/>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69"/>
        <w:gridCol w:w="1364"/>
        <w:gridCol w:w="1191"/>
        <w:gridCol w:w="1278"/>
        <w:gridCol w:w="721"/>
        <w:gridCol w:w="1063"/>
        <w:gridCol w:w="1440"/>
        <w:gridCol w:w="688"/>
      </w:tblGrid>
      <w:tr w14:paraId="50F586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9" w:type="dxa"/>
            <w:noWrap w:val="0"/>
            <w:vAlign w:val="center"/>
          </w:tcPr>
          <w:p w14:paraId="35550B1C">
            <w:pPr>
              <w:jc w:val="center"/>
              <w:rPr>
                <w:rFonts w:hint="eastAsia"/>
              </w:rPr>
            </w:pPr>
            <w:r>
              <w:rPr>
                <w:rFonts w:hint="eastAsia"/>
              </w:rPr>
              <w:t>序号</w:t>
            </w:r>
          </w:p>
        </w:tc>
        <w:tc>
          <w:tcPr>
            <w:tcW w:w="1518" w:type="dxa"/>
            <w:noWrap w:val="0"/>
            <w:vAlign w:val="center"/>
          </w:tcPr>
          <w:p w14:paraId="4E9AB76B">
            <w:pPr>
              <w:jc w:val="center"/>
              <w:rPr>
                <w:rFonts w:hint="eastAsia"/>
              </w:rPr>
            </w:pPr>
            <w:r>
              <w:rPr>
                <w:rFonts w:hint="eastAsia"/>
              </w:rPr>
              <w:t>施工设备名称</w:t>
            </w:r>
          </w:p>
        </w:tc>
        <w:tc>
          <w:tcPr>
            <w:tcW w:w="1317" w:type="dxa"/>
            <w:noWrap w:val="0"/>
            <w:vAlign w:val="center"/>
          </w:tcPr>
          <w:p w14:paraId="0CE0F0E1">
            <w:pPr>
              <w:jc w:val="center"/>
              <w:rPr>
                <w:rFonts w:hint="eastAsia"/>
              </w:rPr>
            </w:pPr>
            <w:r>
              <w:rPr>
                <w:rFonts w:hint="eastAsia"/>
              </w:rPr>
              <w:t>型号及规格</w:t>
            </w:r>
          </w:p>
        </w:tc>
        <w:tc>
          <w:tcPr>
            <w:tcW w:w="1418" w:type="dxa"/>
            <w:noWrap w:val="0"/>
            <w:vAlign w:val="center"/>
          </w:tcPr>
          <w:p w14:paraId="68EB33FE">
            <w:pPr>
              <w:jc w:val="center"/>
              <w:rPr>
                <w:rFonts w:hint="eastAsia"/>
              </w:rPr>
            </w:pPr>
            <w:r>
              <w:rPr>
                <w:rFonts w:hint="eastAsia"/>
              </w:rPr>
              <w:t>设备状况</w:t>
            </w:r>
          </w:p>
        </w:tc>
        <w:tc>
          <w:tcPr>
            <w:tcW w:w="769" w:type="dxa"/>
            <w:noWrap w:val="0"/>
            <w:vAlign w:val="center"/>
          </w:tcPr>
          <w:p w14:paraId="539B8A74">
            <w:pPr>
              <w:jc w:val="center"/>
              <w:rPr>
                <w:rFonts w:hint="eastAsia"/>
              </w:rPr>
            </w:pPr>
            <w:r>
              <w:rPr>
                <w:rFonts w:hint="eastAsia"/>
              </w:rPr>
              <w:t>数量</w:t>
            </w:r>
          </w:p>
        </w:tc>
        <w:tc>
          <w:tcPr>
            <w:tcW w:w="1168" w:type="dxa"/>
            <w:noWrap w:val="0"/>
            <w:vAlign w:val="center"/>
          </w:tcPr>
          <w:p w14:paraId="2553416D">
            <w:pPr>
              <w:jc w:val="center"/>
              <w:rPr>
                <w:rFonts w:hint="eastAsia"/>
              </w:rPr>
            </w:pPr>
            <w:r>
              <w:rPr>
                <w:rFonts w:hint="eastAsia"/>
              </w:rPr>
              <w:t>移交地点</w:t>
            </w:r>
          </w:p>
        </w:tc>
        <w:tc>
          <w:tcPr>
            <w:tcW w:w="1606" w:type="dxa"/>
            <w:noWrap w:val="0"/>
            <w:vAlign w:val="center"/>
          </w:tcPr>
          <w:p w14:paraId="37E3B278">
            <w:pPr>
              <w:jc w:val="center"/>
              <w:rPr>
                <w:rFonts w:hint="eastAsia"/>
              </w:rPr>
            </w:pPr>
            <w:r>
              <w:rPr>
                <w:rFonts w:hint="eastAsia"/>
              </w:rPr>
              <w:t>计划移交日期</w:t>
            </w:r>
          </w:p>
        </w:tc>
        <w:tc>
          <w:tcPr>
            <w:tcW w:w="730" w:type="dxa"/>
            <w:noWrap w:val="0"/>
            <w:vAlign w:val="center"/>
          </w:tcPr>
          <w:p w14:paraId="0B085D95">
            <w:pPr>
              <w:jc w:val="center"/>
            </w:pPr>
            <w:r>
              <w:rPr>
                <w:rFonts w:hint="eastAsia"/>
              </w:rPr>
              <w:t>备注</w:t>
            </w:r>
          </w:p>
        </w:tc>
      </w:tr>
      <w:tr w14:paraId="12A2A6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9" w:type="dxa"/>
            <w:noWrap w:val="0"/>
            <w:vAlign w:val="center"/>
          </w:tcPr>
          <w:p w14:paraId="26DB719C">
            <w:pPr>
              <w:jc w:val="center"/>
              <w:rPr>
                <w:rFonts w:hint="eastAsia"/>
              </w:rPr>
            </w:pPr>
          </w:p>
        </w:tc>
        <w:tc>
          <w:tcPr>
            <w:tcW w:w="1518" w:type="dxa"/>
            <w:noWrap w:val="0"/>
            <w:vAlign w:val="center"/>
          </w:tcPr>
          <w:p w14:paraId="67D53F9B">
            <w:pPr>
              <w:jc w:val="center"/>
              <w:rPr>
                <w:rFonts w:hint="eastAsia"/>
              </w:rPr>
            </w:pPr>
          </w:p>
        </w:tc>
        <w:tc>
          <w:tcPr>
            <w:tcW w:w="1317" w:type="dxa"/>
            <w:noWrap w:val="0"/>
            <w:vAlign w:val="center"/>
          </w:tcPr>
          <w:p w14:paraId="5DE1142B">
            <w:pPr>
              <w:jc w:val="center"/>
              <w:rPr>
                <w:rFonts w:hint="eastAsia"/>
              </w:rPr>
            </w:pPr>
          </w:p>
        </w:tc>
        <w:tc>
          <w:tcPr>
            <w:tcW w:w="1418" w:type="dxa"/>
            <w:noWrap w:val="0"/>
            <w:vAlign w:val="center"/>
          </w:tcPr>
          <w:p w14:paraId="7B524C59">
            <w:pPr>
              <w:jc w:val="center"/>
              <w:rPr>
                <w:rFonts w:hint="eastAsia"/>
              </w:rPr>
            </w:pPr>
          </w:p>
        </w:tc>
        <w:tc>
          <w:tcPr>
            <w:tcW w:w="769" w:type="dxa"/>
            <w:noWrap w:val="0"/>
            <w:vAlign w:val="center"/>
          </w:tcPr>
          <w:p w14:paraId="1F777782">
            <w:pPr>
              <w:jc w:val="center"/>
              <w:rPr>
                <w:rFonts w:hint="eastAsia"/>
              </w:rPr>
            </w:pPr>
          </w:p>
        </w:tc>
        <w:tc>
          <w:tcPr>
            <w:tcW w:w="1168" w:type="dxa"/>
            <w:noWrap w:val="0"/>
            <w:vAlign w:val="center"/>
          </w:tcPr>
          <w:p w14:paraId="6F88A08C">
            <w:pPr>
              <w:jc w:val="center"/>
              <w:rPr>
                <w:rFonts w:hint="eastAsia"/>
              </w:rPr>
            </w:pPr>
          </w:p>
        </w:tc>
        <w:tc>
          <w:tcPr>
            <w:tcW w:w="1606" w:type="dxa"/>
            <w:noWrap w:val="0"/>
            <w:vAlign w:val="center"/>
          </w:tcPr>
          <w:p w14:paraId="708FC2C1">
            <w:pPr>
              <w:jc w:val="center"/>
              <w:rPr>
                <w:rFonts w:hint="eastAsia"/>
              </w:rPr>
            </w:pPr>
          </w:p>
        </w:tc>
        <w:tc>
          <w:tcPr>
            <w:tcW w:w="730" w:type="dxa"/>
            <w:noWrap w:val="0"/>
            <w:vAlign w:val="center"/>
          </w:tcPr>
          <w:p w14:paraId="761D240F">
            <w:pPr>
              <w:jc w:val="center"/>
              <w:rPr>
                <w:rFonts w:hint="eastAsia"/>
              </w:rPr>
            </w:pPr>
          </w:p>
        </w:tc>
      </w:tr>
      <w:tr w14:paraId="5515F4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9" w:type="dxa"/>
            <w:noWrap w:val="0"/>
            <w:vAlign w:val="center"/>
          </w:tcPr>
          <w:p w14:paraId="66707445">
            <w:pPr>
              <w:jc w:val="center"/>
              <w:rPr>
                <w:rFonts w:hint="eastAsia"/>
              </w:rPr>
            </w:pPr>
          </w:p>
        </w:tc>
        <w:tc>
          <w:tcPr>
            <w:tcW w:w="1518" w:type="dxa"/>
            <w:noWrap w:val="0"/>
            <w:vAlign w:val="center"/>
          </w:tcPr>
          <w:p w14:paraId="01EE55CA">
            <w:pPr>
              <w:jc w:val="center"/>
              <w:rPr>
                <w:rFonts w:hint="eastAsia"/>
              </w:rPr>
            </w:pPr>
          </w:p>
        </w:tc>
        <w:tc>
          <w:tcPr>
            <w:tcW w:w="1317" w:type="dxa"/>
            <w:noWrap w:val="0"/>
            <w:vAlign w:val="center"/>
          </w:tcPr>
          <w:p w14:paraId="4624F8D0">
            <w:pPr>
              <w:jc w:val="center"/>
              <w:rPr>
                <w:rFonts w:hint="eastAsia"/>
              </w:rPr>
            </w:pPr>
          </w:p>
        </w:tc>
        <w:tc>
          <w:tcPr>
            <w:tcW w:w="1418" w:type="dxa"/>
            <w:noWrap w:val="0"/>
            <w:vAlign w:val="center"/>
          </w:tcPr>
          <w:p w14:paraId="002176D3">
            <w:pPr>
              <w:jc w:val="center"/>
              <w:rPr>
                <w:rFonts w:hint="eastAsia"/>
              </w:rPr>
            </w:pPr>
          </w:p>
        </w:tc>
        <w:tc>
          <w:tcPr>
            <w:tcW w:w="769" w:type="dxa"/>
            <w:noWrap w:val="0"/>
            <w:vAlign w:val="center"/>
          </w:tcPr>
          <w:p w14:paraId="0ADB2278">
            <w:pPr>
              <w:jc w:val="center"/>
              <w:rPr>
                <w:rFonts w:hint="eastAsia"/>
              </w:rPr>
            </w:pPr>
          </w:p>
        </w:tc>
        <w:tc>
          <w:tcPr>
            <w:tcW w:w="1168" w:type="dxa"/>
            <w:noWrap w:val="0"/>
            <w:vAlign w:val="center"/>
          </w:tcPr>
          <w:p w14:paraId="42495ACE">
            <w:pPr>
              <w:jc w:val="center"/>
              <w:rPr>
                <w:rFonts w:hint="eastAsia"/>
              </w:rPr>
            </w:pPr>
          </w:p>
        </w:tc>
        <w:tc>
          <w:tcPr>
            <w:tcW w:w="1606" w:type="dxa"/>
            <w:noWrap w:val="0"/>
            <w:vAlign w:val="center"/>
          </w:tcPr>
          <w:p w14:paraId="04C60031">
            <w:pPr>
              <w:jc w:val="center"/>
              <w:rPr>
                <w:rFonts w:hint="eastAsia"/>
              </w:rPr>
            </w:pPr>
          </w:p>
        </w:tc>
        <w:tc>
          <w:tcPr>
            <w:tcW w:w="730" w:type="dxa"/>
            <w:noWrap w:val="0"/>
            <w:vAlign w:val="center"/>
          </w:tcPr>
          <w:p w14:paraId="4A097DD5">
            <w:pPr>
              <w:jc w:val="center"/>
              <w:rPr>
                <w:rFonts w:hint="eastAsia"/>
              </w:rPr>
            </w:pPr>
          </w:p>
        </w:tc>
      </w:tr>
    </w:tbl>
    <w:p w14:paraId="35300CD0">
      <w:r>
        <w:rPr>
          <w:rFonts w:hint="eastAsia"/>
        </w:rPr>
        <w:t>　　注　设备状况栏内填写该设备的新旧程度、购进时间、已使用小时数和最近一次的大修时间。</w:t>
      </w:r>
    </w:p>
    <w:p w14:paraId="5D1C6343">
      <w:r>
        <w:rPr>
          <w:rFonts w:hint="eastAsia"/>
        </w:rPr>
        <w:t>　　(2)发包人提供的临时设施：</w:t>
      </w:r>
      <w:r>
        <w:rPr>
          <w:rFonts w:hint="eastAsia"/>
          <w:u w:val="single"/>
        </w:rPr>
        <w:t>　　　　　　　　　</w:t>
      </w:r>
      <w:r>
        <w:rPr>
          <w:rFonts w:hint="eastAsia"/>
        </w:rPr>
        <w:t>。</w:t>
      </w:r>
    </w:p>
    <w:p w14:paraId="76D1B972">
      <w:pPr>
        <w:rPr>
          <w:b/>
        </w:rPr>
      </w:pPr>
      <w:bookmarkStart w:id="32" w:name="第04章合同条款及格式0207"/>
      <w:bookmarkEnd w:id="32"/>
      <w:r>
        <w:rPr>
          <w:rFonts w:hint="eastAsia"/>
          <w:b/>
        </w:rPr>
        <w:t>7　交通运输</w:t>
      </w:r>
    </w:p>
    <w:p w14:paraId="479CCE20">
      <w:r>
        <w:rPr>
          <w:rFonts w:hint="eastAsia"/>
        </w:rPr>
        <w:t>　7.1　道路通行权和场外设施</w:t>
      </w:r>
    </w:p>
    <w:p w14:paraId="4C680419">
      <w:r>
        <w:rPr>
          <w:rFonts w:hint="eastAsia"/>
        </w:rPr>
        <w:t>　　道路通行权和场外设施的约定：</w:t>
      </w:r>
      <w:r>
        <w:rPr>
          <w:rFonts w:hint="eastAsia"/>
          <w:u w:val="single"/>
        </w:rPr>
        <w:t>　　　　　　</w:t>
      </w:r>
      <w:r>
        <w:rPr>
          <w:rFonts w:hint="eastAsia"/>
        </w:rPr>
        <w:t>。</w:t>
      </w:r>
    </w:p>
    <w:p w14:paraId="02511C78">
      <w:pPr>
        <w:rPr>
          <w:b/>
        </w:rPr>
      </w:pPr>
      <w:bookmarkStart w:id="33" w:name="第04章合同条款及格式0208"/>
      <w:bookmarkEnd w:id="33"/>
      <w:r>
        <w:rPr>
          <w:rFonts w:hint="eastAsia"/>
          <w:b/>
        </w:rPr>
        <w:t>8　测量放线</w:t>
      </w:r>
    </w:p>
    <w:p w14:paraId="55478439">
      <w:r>
        <w:rPr>
          <w:rFonts w:hint="eastAsia"/>
        </w:rPr>
        <w:t>　8.1　施工控制网</w:t>
      </w:r>
    </w:p>
    <w:p w14:paraId="0F00A60D">
      <w:r>
        <w:rPr>
          <w:rFonts w:hint="eastAsia"/>
        </w:rPr>
        <w:t>　　8.1.1　施工控制网的约定：</w:t>
      </w:r>
      <w:r>
        <w:rPr>
          <w:rFonts w:hint="eastAsia"/>
          <w:u w:val="single"/>
        </w:rPr>
        <w:t>　　　　　　　　</w:t>
      </w:r>
      <w:r>
        <w:rPr>
          <w:rFonts w:hint="eastAsia"/>
        </w:rPr>
        <w:t>。</w:t>
      </w:r>
    </w:p>
    <w:p w14:paraId="179F7E25">
      <w:pPr>
        <w:rPr>
          <w:b/>
        </w:rPr>
      </w:pPr>
      <w:bookmarkStart w:id="34" w:name="第04章合同条款及格式0209"/>
      <w:bookmarkEnd w:id="34"/>
      <w:r>
        <w:rPr>
          <w:rFonts w:hint="eastAsia"/>
          <w:b/>
        </w:rPr>
        <w:t>9　施工安全、治安保卫和环境保护</w:t>
      </w:r>
    </w:p>
    <w:p w14:paraId="70526E09">
      <w:r>
        <w:rPr>
          <w:rFonts w:hint="eastAsia"/>
        </w:rPr>
        <w:t>　9.1　发包人的施工安全责任</w:t>
      </w:r>
    </w:p>
    <w:p w14:paraId="2925DF46">
      <w:r>
        <w:rPr>
          <w:rFonts w:hint="eastAsia"/>
        </w:rPr>
        <w:t>　　9.1.4　发包人提供</w:t>
      </w:r>
      <w:r>
        <w:rPr>
          <w:rFonts w:hint="eastAsia"/>
          <w:u w:val="single"/>
        </w:rPr>
        <w:t>　　　　　　　</w:t>
      </w:r>
      <w:r>
        <w:rPr>
          <w:rFonts w:hint="eastAsia"/>
        </w:rPr>
        <w:t>资料，其余资料由承包人负责收集。</w:t>
      </w:r>
    </w:p>
    <w:p w14:paraId="0265EDD4">
      <w:r>
        <w:rPr>
          <w:rFonts w:hint="eastAsia"/>
        </w:rPr>
        <w:t>　9.2　承包人的施工安全责任</w:t>
      </w:r>
    </w:p>
    <w:p w14:paraId="1D9EC796">
      <w:r>
        <w:rPr>
          <w:rFonts w:hint="eastAsia"/>
        </w:rPr>
        <w:t>　　9.2.12　下列工程应编制专项施工方案：</w:t>
      </w:r>
      <w:r>
        <w:rPr>
          <w:rFonts w:hint="eastAsia"/>
          <w:u w:val="single"/>
        </w:rPr>
        <w:t>　　　　　</w:t>
      </w:r>
      <w:r>
        <w:rPr>
          <w:rFonts w:hint="eastAsia"/>
        </w:rPr>
        <w:t>。其中</w:t>
      </w:r>
      <w:r>
        <w:rPr>
          <w:rFonts w:hint="eastAsia"/>
          <w:u w:val="single"/>
        </w:rPr>
        <w:t>　　　　　</w:t>
      </w:r>
      <w:r>
        <w:rPr>
          <w:rFonts w:hint="eastAsia"/>
        </w:rPr>
        <w:t>应组织专家论证和审查。</w:t>
      </w:r>
    </w:p>
    <w:p w14:paraId="4CD6CE8D">
      <w:r>
        <w:rPr>
          <w:rFonts w:hint="eastAsia"/>
        </w:rPr>
        <w:t>　9.7　文明工地</w:t>
      </w:r>
    </w:p>
    <w:p w14:paraId="129D3C95">
      <w:r>
        <w:rPr>
          <w:rFonts w:hint="eastAsia"/>
        </w:rPr>
        <w:t>　　9.7.1　本合同文明工地的约定：</w:t>
      </w:r>
      <w:r>
        <w:rPr>
          <w:rFonts w:hint="eastAsia"/>
          <w:u w:val="single"/>
        </w:rPr>
        <w:t>　　　　　　　</w:t>
      </w:r>
      <w:r>
        <w:rPr>
          <w:rFonts w:hint="eastAsia"/>
        </w:rPr>
        <w:t>。</w:t>
      </w:r>
    </w:p>
    <w:p w14:paraId="5EA1AE23">
      <w:pPr>
        <w:rPr>
          <w:b/>
        </w:rPr>
      </w:pPr>
      <w:bookmarkStart w:id="35" w:name="第04章合同条款及格式0211"/>
      <w:bookmarkEnd w:id="35"/>
      <w:r>
        <w:rPr>
          <w:rFonts w:hint="eastAsia"/>
          <w:b/>
        </w:rPr>
        <w:t>11　开工和竣工(完工)</w:t>
      </w:r>
    </w:p>
    <w:p w14:paraId="159FED34">
      <w:r>
        <w:rPr>
          <w:rFonts w:hint="eastAsia"/>
        </w:rPr>
        <w:t>　11.4　异常恶劣的气候条件</w:t>
      </w:r>
    </w:p>
    <w:p w14:paraId="4DE53D20">
      <w:r>
        <w:rPr>
          <w:rFonts w:hint="eastAsia"/>
        </w:rPr>
        <w:t>　11.4.3　本合同工程界定异常恶劣气候条件的范围为：</w:t>
      </w:r>
    </w:p>
    <w:p w14:paraId="786EC126">
      <w:r>
        <w:rPr>
          <w:rFonts w:hint="eastAsia"/>
        </w:rPr>
        <w:t>　　(1)日降雨量大于　　　　mm的雨日超过　　　　天；</w:t>
      </w:r>
    </w:p>
    <w:p w14:paraId="0EE1B3FF">
      <w:r>
        <w:rPr>
          <w:rFonts w:hint="eastAsia"/>
        </w:rPr>
        <w:t>　　(2)风速大于　　　　m/s的　　　级以上台风灾害；</w:t>
      </w:r>
    </w:p>
    <w:p w14:paraId="7F5C1AC4">
      <w:r>
        <w:rPr>
          <w:rFonts w:hint="eastAsia"/>
        </w:rPr>
        <w:t>　　(3)日气温超过　　　　℃的高温大于　　　　天；</w:t>
      </w:r>
    </w:p>
    <w:p w14:paraId="51751BE6">
      <w:r>
        <w:rPr>
          <w:rFonts w:hint="eastAsia"/>
        </w:rPr>
        <w:t>　　(4)日气温低于　　　　℃的严寒大于　　　　天；</w:t>
      </w:r>
    </w:p>
    <w:p w14:paraId="11CE70DF">
      <w:r>
        <w:rPr>
          <w:rFonts w:hint="eastAsia"/>
        </w:rPr>
        <w:t>　　(5)造成工程损坏的冰雹和大雪灾害：　　　　；</w:t>
      </w:r>
    </w:p>
    <w:p w14:paraId="0B23B5DE">
      <w:r>
        <w:rPr>
          <w:rFonts w:hint="eastAsia"/>
        </w:rPr>
        <w:t>　　(6)其它异常恶劣气候灾害。</w:t>
      </w:r>
    </w:p>
    <w:p w14:paraId="19186718">
      <w:r>
        <w:rPr>
          <w:rFonts w:hint="eastAsia"/>
        </w:rPr>
        <w:t>　11.5　承包人工期延误</w:t>
      </w:r>
    </w:p>
    <w:p w14:paraId="0C7C7817">
      <w:r>
        <w:rPr>
          <w:rFonts w:hint="eastAsia"/>
        </w:rPr>
        <w:t>　　(1)逾期完工违约金表(参考格式)。</w:t>
      </w:r>
    </w:p>
    <w:tbl>
      <w:tblPr>
        <w:tblStyle w:val="2"/>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41"/>
        <w:gridCol w:w="3287"/>
        <w:gridCol w:w="2164"/>
        <w:gridCol w:w="2022"/>
      </w:tblGrid>
      <w:tr w14:paraId="2D2DD0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3" w:type="dxa"/>
            <w:noWrap w:val="0"/>
            <w:vAlign w:val="center"/>
          </w:tcPr>
          <w:p w14:paraId="60C135D7">
            <w:pPr>
              <w:jc w:val="center"/>
              <w:rPr>
                <w:rFonts w:hint="eastAsia"/>
              </w:rPr>
            </w:pPr>
            <w:r>
              <w:rPr>
                <w:rFonts w:hint="eastAsia"/>
              </w:rPr>
              <w:t>序号</w:t>
            </w:r>
          </w:p>
        </w:tc>
        <w:tc>
          <w:tcPr>
            <w:tcW w:w="3570" w:type="dxa"/>
            <w:noWrap w:val="0"/>
            <w:vAlign w:val="center"/>
          </w:tcPr>
          <w:p w14:paraId="3674AA16">
            <w:pPr>
              <w:jc w:val="center"/>
              <w:rPr>
                <w:rFonts w:hint="eastAsia"/>
              </w:rPr>
            </w:pPr>
            <w:r>
              <w:rPr>
                <w:rFonts w:hint="eastAsia"/>
              </w:rPr>
              <w:t>项目及其说明</w:t>
            </w:r>
          </w:p>
        </w:tc>
        <w:tc>
          <w:tcPr>
            <w:tcW w:w="2336" w:type="dxa"/>
            <w:noWrap w:val="0"/>
            <w:vAlign w:val="center"/>
          </w:tcPr>
          <w:p w14:paraId="6C9C3DC8">
            <w:pPr>
              <w:jc w:val="center"/>
              <w:rPr>
                <w:rFonts w:hint="eastAsia"/>
              </w:rPr>
            </w:pPr>
            <w:r>
              <w:rPr>
                <w:rFonts w:hint="eastAsia"/>
              </w:rPr>
              <w:t>要求完工日期</w:t>
            </w:r>
          </w:p>
        </w:tc>
        <w:tc>
          <w:tcPr>
            <w:tcW w:w="2173" w:type="dxa"/>
            <w:noWrap w:val="0"/>
            <w:vAlign w:val="center"/>
          </w:tcPr>
          <w:p w14:paraId="783147E7">
            <w:pPr>
              <w:jc w:val="center"/>
            </w:pPr>
            <w:r>
              <w:rPr>
                <w:rFonts w:hint="eastAsia"/>
              </w:rPr>
              <w:t>违约金(元/天)</w:t>
            </w:r>
          </w:p>
        </w:tc>
      </w:tr>
      <w:tr w14:paraId="77BC14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3" w:type="dxa"/>
            <w:noWrap w:val="0"/>
            <w:vAlign w:val="center"/>
          </w:tcPr>
          <w:p w14:paraId="1BBA40AA">
            <w:pPr>
              <w:jc w:val="center"/>
              <w:rPr>
                <w:rFonts w:hint="eastAsia"/>
              </w:rPr>
            </w:pPr>
          </w:p>
        </w:tc>
        <w:tc>
          <w:tcPr>
            <w:tcW w:w="3570" w:type="dxa"/>
            <w:noWrap w:val="0"/>
            <w:vAlign w:val="center"/>
          </w:tcPr>
          <w:p w14:paraId="599F7884">
            <w:pPr>
              <w:jc w:val="center"/>
              <w:rPr>
                <w:rFonts w:hint="eastAsia"/>
              </w:rPr>
            </w:pPr>
          </w:p>
        </w:tc>
        <w:tc>
          <w:tcPr>
            <w:tcW w:w="2336" w:type="dxa"/>
            <w:noWrap w:val="0"/>
            <w:vAlign w:val="center"/>
          </w:tcPr>
          <w:p w14:paraId="3A04F306">
            <w:pPr>
              <w:jc w:val="center"/>
              <w:rPr>
                <w:rFonts w:hint="eastAsia"/>
              </w:rPr>
            </w:pPr>
          </w:p>
        </w:tc>
        <w:tc>
          <w:tcPr>
            <w:tcW w:w="2173" w:type="dxa"/>
            <w:noWrap w:val="0"/>
            <w:vAlign w:val="center"/>
          </w:tcPr>
          <w:p w14:paraId="6B9033AE">
            <w:pPr>
              <w:jc w:val="center"/>
              <w:rPr>
                <w:rFonts w:hint="eastAsia"/>
              </w:rPr>
            </w:pPr>
          </w:p>
        </w:tc>
      </w:tr>
      <w:tr w14:paraId="69725D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3" w:type="dxa"/>
            <w:noWrap w:val="0"/>
            <w:vAlign w:val="center"/>
          </w:tcPr>
          <w:p w14:paraId="51FC2FC8">
            <w:pPr>
              <w:jc w:val="center"/>
              <w:rPr>
                <w:rFonts w:hint="eastAsia"/>
              </w:rPr>
            </w:pPr>
          </w:p>
        </w:tc>
        <w:tc>
          <w:tcPr>
            <w:tcW w:w="3570" w:type="dxa"/>
            <w:noWrap w:val="0"/>
            <w:vAlign w:val="center"/>
          </w:tcPr>
          <w:p w14:paraId="7A2A7037">
            <w:pPr>
              <w:jc w:val="center"/>
              <w:rPr>
                <w:rFonts w:hint="eastAsia"/>
              </w:rPr>
            </w:pPr>
          </w:p>
        </w:tc>
        <w:tc>
          <w:tcPr>
            <w:tcW w:w="2336" w:type="dxa"/>
            <w:noWrap w:val="0"/>
            <w:vAlign w:val="center"/>
          </w:tcPr>
          <w:p w14:paraId="0CF6AD71">
            <w:pPr>
              <w:jc w:val="center"/>
              <w:rPr>
                <w:rFonts w:hint="eastAsia"/>
              </w:rPr>
            </w:pPr>
          </w:p>
        </w:tc>
        <w:tc>
          <w:tcPr>
            <w:tcW w:w="2173" w:type="dxa"/>
            <w:noWrap w:val="0"/>
            <w:vAlign w:val="center"/>
          </w:tcPr>
          <w:p w14:paraId="2FAA155A">
            <w:pPr>
              <w:jc w:val="center"/>
              <w:rPr>
                <w:rFonts w:hint="eastAsia"/>
              </w:rPr>
            </w:pPr>
          </w:p>
        </w:tc>
      </w:tr>
    </w:tbl>
    <w:p w14:paraId="7F1D2CBB">
      <w:r>
        <w:rPr>
          <w:rFonts w:hint="eastAsia"/>
        </w:rPr>
        <w:t>　　(2)全部逾期完工违约金的总限额为</w:t>
      </w:r>
      <w:r>
        <w:rPr>
          <w:rFonts w:hint="eastAsia"/>
          <w:u w:val="single"/>
        </w:rPr>
        <w:t>　　　　</w:t>
      </w:r>
      <w:r>
        <w:rPr>
          <w:rFonts w:hint="eastAsia"/>
        </w:rPr>
        <w:t>(不超过签约合同价的</w:t>
      </w:r>
      <w:r>
        <w:rPr>
          <w:rFonts w:hint="eastAsia"/>
          <w:u w:val="single"/>
        </w:rPr>
        <w:t>　</w:t>
      </w:r>
      <w:r>
        <w:rPr>
          <w:rFonts w:hint="eastAsia"/>
        </w:rPr>
        <w:t>%)。</w:t>
      </w:r>
    </w:p>
    <w:p w14:paraId="69299316">
      <w:r>
        <w:rPr>
          <w:rFonts w:hint="eastAsia"/>
        </w:rPr>
        <w:t>　11.6　工期提前</w:t>
      </w:r>
    </w:p>
    <w:p w14:paraId="1D70CDAD">
      <w:r>
        <w:rPr>
          <w:rFonts w:hint="eastAsia"/>
        </w:rPr>
        <w:t>　　工期提前的奖金约定：</w:t>
      </w:r>
      <w:r>
        <w:rPr>
          <w:rFonts w:hint="eastAsia"/>
          <w:u w:val="single"/>
        </w:rPr>
        <w:t>　　　　</w:t>
      </w:r>
      <w:r>
        <w:rPr>
          <w:rFonts w:hint="eastAsia"/>
        </w:rPr>
        <w:t>。</w:t>
      </w:r>
    </w:p>
    <w:p w14:paraId="7FAC76CF">
      <w:pPr>
        <w:rPr>
          <w:b/>
        </w:rPr>
      </w:pPr>
      <w:bookmarkStart w:id="36" w:name="第04章合同条款及格式0212"/>
      <w:bookmarkEnd w:id="36"/>
      <w:r>
        <w:rPr>
          <w:rFonts w:hint="eastAsia"/>
          <w:b/>
        </w:rPr>
        <w:t>12　暂停施工</w:t>
      </w:r>
    </w:p>
    <w:p w14:paraId="095B942F">
      <w:r>
        <w:rPr>
          <w:rFonts w:hint="eastAsia"/>
        </w:rPr>
        <w:t>　12.1　承包人暂停施工的责任</w:t>
      </w:r>
    </w:p>
    <w:p w14:paraId="2480F8D7">
      <w:r>
        <w:rPr>
          <w:rFonts w:hint="eastAsia"/>
        </w:rPr>
        <w:t>　　(5)承包人承担暂停施工责任的其它情形：</w:t>
      </w:r>
      <w:r>
        <w:rPr>
          <w:rFonts w:hint="eastAsia"/>
          <w:u w:val="single"/>
        </w:rPr>
        <w:t>　　　　　</w:t>
      </w:r>
      <w:r>
        <w:rPr>
          <w:rFonts w:hint="eastAsia"/>
        </w:rPr>
        <w:t>。</w:t>
      </w:r>
    </w:p>
    <w:p w14:paraId="1B219D16">
      <w:r>
        <w:rPr>
          <w:rFonts w:hint="eastAsia"/>
        </w:rPr>
        <w:t>　12.2　发包人暂停施工的责任</w:t>
      </w:r>
    </w:p>
    <w:p w14:paraId="4196305E">
      <w:r>
        <w:rPr>
          <w:rFonts w:hint="eastAsia"/>
        </w:rPr>
        <w:t>　　(3)发包人承担暂停施工责任的其它情形：</w:t>
      </w:r>
      <w:r>
        <w:rPr>
          <w:rFonts w:hint="eastAsia"/>
          <w:u w:val="single"/>
        </w:rPr>
        <w:t>　　　　　</w:t>
      </w:r>
      <w:r>
        <w:rPr>
          <w:rFonts w:hint="eastAsia"/>
        </w:rPr>
        <w:t>。</w:t>
      </w:r>
    </w:p>
    <w:p w14:paraId="6C5E87A0">
      <w:pPr>
        <w:rPr>
          <w:b/>
        </w:rPr>
      </w:pPr>
      <w:bookmarkStart w:id="37" w:name="第04章合同条款及格式0213"/>
      <w:bookmarkEnd w:id="37"/>
      <w:r>
        <w:rPr>
          <w:rFonts w:hint="eastAsia"/>
          <w:b/>
        </w:rPr>
        <w:t>13　工程质量</w:t>
      </w:r>
    </w:p>
    <w:p w14:paraId="25A1CD94">
      <w:r>
        <w:rPr>
          <w:rFonts w:hint="eastAsia"/>
        </w:rPr>
        <w:t>　13.7　质量评定</w:t>
      </w:r>
    </w:p>
    <w:p w14:paraId="78B8E741">
      <w:r>
        <w:rPr>
          <w:rFonts w:hint="eastAsia"/>
        </w:rPr>
        <w:t>　　13.7.4　重要隐蔽单元工程和关键部位单元工程质量评定的约定：　　　　。</w:t>
      </w:r>
    </w:p>
    <w:p w14:paraId="0928532B">
      <w:r>
        <w:rPr>
          <w:rFonts w:hint="eastAsia"/>
        </w:rPr>
        <w:t>　　13.7.7　工程合格标准为：　　　　　；优良标准为：　　　　。达到优良的奖金为：　　　　　。</w:t>
      </w:r>
    </w:p>
    <w:p w14:paraId="0F46B9A3">
      <w:r>
        <w:rPr>
          <w:rFonts w:hint="eastAsia"/>
        </w:rPr>
        <w:t>　13.8　质量事故处理</w:t>
      </w:r>
    </w:p>
    <w:p w14:paraId="3C26DA08">
      <w:r>
        <w:rPr>
          <w:rFonts w:hint="eastAsia"/>
        </w:rPr>
        <w:t>　　13.8.4　工程竣工验收时，　　　　　向竣工验收委员会汇报并提交历次质量缺陷处理的备案资料。</w:t>
      </w:r>
    </w:p>
    <w:p w14:paraId="2F091727">
      <w:pPr>
        <w:rPr>
          <w:b/>
        </w:rPr>
      </w:pPr>
      <w:bookmarkStart w:id="38" w:name="第04章合同条款及格式0214"/>
      <w:bookmarkEnd w:id="38"/>
      <w:r>
        <w:rPr>
          <w:rFonts w:hint="eastAsia"/>
          <w:b/>
        </w:rPr>
        <w:t>14　试验和检验</w:t>
      </w:r>
    </w:p>
    <w:p w14:paraId="45E8BF3D">
      <w:r>
        <w:rPr>
          <w:rFonts w:hint="eastAsia"/>
        </w:rPr>
        <w:t>　14.1　材料、工程设备和工程的试验和检验</w:t>
      </w:r>
    </w:p>
    <w:p w14:paraId="45792131">
      <w:r>
        <w:rPr>
          <w:rFonts w:hint="eastAsia"/>
        </w:rPr>
        <w:t>　　14.1.5　水工金属结构、启闭机及机电产品进场后的交货检查和验收中，承包人负责　　　　　。</w:t>
      </w:r>
    </w:p>
    <w:p w14:paraId="0A86A7C3">
      <w:r>
        <w:rPr>
          <w:rFonts w:hint="eastAsia"/>
        </w:rPr>
        <w:t>　　14.1.6　本工程实行见证取样的试块、试件及有关材料：　　　　　　。</w:t>
      </w:r>
    </w:p>
    <w:p w14:paraId="0CD87A3E">
      <w:pPr>
        <w:rPr>
          <w:b/>
        </w:rPr>
      </w:pPr>
      <w:bookmarkStart w:id="39" w:name="第04章合同条款及格式0215"/>
      <w:bookmarkEnd w:id="39"/>
      <w:r>
        <w:rPr>
          <w:rFonts w:hint="eastAsia"/>
          <w:b/>
        </w:rPr>
        <w:t>15　变更</w:t>
      </w:r>
    </w:p>
    <w:p w14:paraId="2F633EDB">
      <w:r>
        <w:rPr>
          <w:rFonts w:hint="eastAsia"/>
        </w:rPr>
        <w:t>　15.1　变更的范围和内容</w:t>
      </w:r>
    </w:p>
    <w:p w14:paraId="09758088">
      <w:r>
        <w:rPr>
          <w:rFonts w:hint="eastAsia"/>
        </w:rPr>
        <w:t>　　(6)增加或减少合同中关键项目的工程量超过其工程总量的　　　　%，关键项目：　　　　，单价调整方式：　　　　　。</w:t>
      </w:r>
    </w:p>
    <w:p w14:paraId="56F1A829">
      <w:r>
        <w:rPr>
          <w:rFonts w:hint="eastAsia"/>
        </w:rPr>
        <w:t>　15.5　承包人的合理化建议</w:t>
      </w:r>
    </w:p>
    <w:p w14:paraId="3F040F39">
      <w:r>
        <w:rPr>
          <w:rFonts w:hint="eastAsia"/>
        </w:rPr>
        <w:t>　　15.5.2　承包人实现合理化建议的奖励金额为：　　　　　　　　。</w:t>
      </w:r>
    </w:p>
    <w:p w14:paraId="0F1BFE87">
      <w:r>
        <w:rPr>
          <w:rFonts w:hint="eastAsia"/>
        </w:rPr>
        <w:t>　15.8　暂估价</w:t>
      </w:r>
    </w:p>
    <w:p w14:paraId="1FB393DE">
      <w:r>
        <w:rPr>
          <w:rFonts w:hint="eastAsia"/>
        </w:rPr>
        <w:t>　　15.8.1　(1)发包人和承包人组织招标的暂估价项目：　　　　　(签约后填入)；发包人组织招标的暂估价项目：　　　　　(签约后填入)。</w:t>
      </w:r>
    </w:p>
    <w:p w14:paraId="02BB6B93">
      <w:r>
        <w:rPr>
          <w:rFonts w:hint="eastAsia"/>
        </w:rPr>
        <w:t>　　(2)发包人和承包人以招标方式选择暂估价项目供应商或分包人时，双方的权利义务关系：　　　　　。</w:t>
      </w:r>
    </w:p>
    <w:p w14:paraId="40CAAF61">
      <w:pPr>
        <w:rPr>
          <w:b/>
        </w:rPr>
      </w:pPr>
      <w:bookmarkStart w:id="40" w:name="第04章合同条款及格式0216"/>
      <w:bookmarkEnd w:id="40"/>
      <w:r>
        <w:rPr>
          <w:rFonts w:hint="eastAsia"/>
          <w:b/>
        </w:rPr>
        <w:t>16　价格调整</w:t>
      </w:r>
    </w:p>
    <w:p w14:paraId="563E4301">
      <w:r>
        <w:rPr>
          <w:rFonts w:hint="eastAsia"/>
        </w:rPr>
        <w:t>　16.1　物价波动引起的价格调整</w:t>
      </w:r>
    </w:p>
    <w:p w14:paraId="0FD59B39">
      <w:r>
        <w:rPr>
          <w:rFonts w:hint="eastAsia"/>
        </w:rPr>
        <w:t>　　物价波动引起的价格调整方式：　　　　。</w:t>
      </w:r>
    </w:p>
    <w:p w14:paraId="22C70EC6">
      <w:r>
        <w:rPr>
          <w:rFonts w:hint="eastAsia"/>
        </w:rPr>
        <w:t>　　16.1.2　采用造价信息调整价格差额</w:t>
      </w:r>
    </w:p>
    <w:p w14:paraId="28809C40">
      <w:r>
        <w:rPr>
          <w:rFonts w:hint="eastAsia"/>
        </w:rPr>
        <w:t>　　工程造价信息的来源：　　　　　。</w:t>
      </w:r>
    </w:p>
    <w:p w14:paraId="03B6FD7A">
      <w:r>
        <w:rPr>
          <w:rFonts w:hint="eastAsia"/>
        </w:rPr>
        <w:t>　　价格调整的项目和系数：　　　　　。</w:t>
      </w:r>
    </w:p>
    <w:p w14:paraId="74A80651">
      <w:pPr>
        <w:rPr>
          <w:b/>
        </w:rPr>
      </w:pPr>
      <w:bookmarkStart w:id="41" w:name="第04章合同条款及格式0217"/>
      <w:bookmarkEnd w:id="41"/>
      <w:r>
        <w:rPr>
          <w:rFonts w:hint="eastAsia"/>
          <w:b/>
        </w:rPr>
        <w:t>17　计量与支付</w:t>
      </w:r>
    </w:p>
    <w:p w14:paraId="1A76081C">
      <w:r>
        <w:rPr>
          <w:rFonts w:hint="eastAsia"/>
        </w:rPr>
        <w:t>　17.2　预付款</w:t>
      </w:r>
    </w:p>
    <w:p w14:paraId="045E7C9C">
      <w:r>
        <w:rPr>
          <w:rFonts w:hint="eastAsia"/>
        </w:rPr>
        <w:t>　　17.2.1　预付款：</w:t>
      </w:r>
    </w:p>
    <w:p w14:paraId="55711424">
      <w:r>
        <w:rPr>
          <w:rFonts w:hint="eastAsia"/>
        </w:rPr>
        <w:t>　　(1)工程预付款的总金额为签约合同价的　　　　%，分　　　　次支付给承包人。</w:t>
      </w:r>
    </w:p>
    <w:p w14:paraId="68B21DC7">
      <w:r>
        <w:rPr>
          <w:rFonts w:hint="eastAsia"/>
        </w:rPr>
        <w:t>　　各次预付款的支付额度和付款时间为：</w:t>
      </w:r>
    </w:p>
    <w:p w14:paraId="0934C106">
      <w:r>
        <w:rPr>
          <w:rFonts w:hint="eastAsia"/>
        </w:rPr>
        <w:t>　　1)第一次预付款金额为工程预付款总金额的　　　%，付款时间应在合同协议书签订后，由承包人向发包人提交了发包人认可的工程预付款担保，并经监理人出具付款证书报送发包人批准后14天内予以支付。</w:t>
      </w:r>
    </w:p>
    <w:p w14:paraId="49DD3607">
      <w:r>
        <w:rPr>
          <w:rFonts w:hint="eastAsia"/>
        </w:rPr>
        <w:t>　　2)第二次预付款金额为工程预付款总金额的　　%。付款时间需待承包人主要设备进入工地后，其估算价值已达到本次预付款金额时，由承包人提出书面申请，经监理人核实后出具付款证书报送发包人批准后14天内予以支付。</w:t>
      </w:r>
    </w:p>
    <w:p w14:paraId="0F12668F">
      <w:r>
        <w:rPr>
          <w:rFonts w:hint="eastAsia"/>
        </w:rPr>
        <w:t>　　3)第三次预付款……。</w:t>
      </w:r>
    </w:p>
    <w:p w14:paraId="452ED769">
      <w:r>
        <w:rPr>
          <w:rFonts w:hint="eastAsia"/>
        </w:rPr>
        <w:t>　　……</w:t>
      </w:r>
    </w:p>
    <w:p w14:paraId="0E988C09">
      <w:r>
        <w:rPr>
          <w:rFonts w:hint="eastAsia"/>
        </w:rPr>
        <w:t>　　(2)工程材料预付款的额度和预付办法约定为：　　　。</w:t>
      </w:r>
    </w:p>
    <w:p w14:paraId="31B1B721">
      <w:r>
        <w:rPr>
          <w:rFonts w:hint="eastAsia"/>
        </w:rPr>
        <w:t>　　17.2.2　预付款保函(担保)</w:t>
      </w:r>
    </w:p>
    <w:p w14:paraId="044FD9D7">
      <w:r>
        <w:rPr>
          <w:rFonts w:hint="eastAsia"/>
        </w:rPr>
        <w:t>　　(2)工程材料预付款的担保约定为：　　　。</w:t>
      </w:r>
    </w:p>
    <w:p w14:paraId="7C28B2EF">
      <w:r>
        <w:rPr>
          <w:rFonts w:hint="eastAsia"/>
        </w:rPr>
        <w:t>　　17.2.3　预付款的扣回与还清</w:t>
      </w:r>
    </w:p>
    <w:p w14:paraId="35688624">
      <w:r>
        <w:rPr>
          <w:rFonts w:hint="eastAsia"/>
        </w:rPr>
        <w:t>　　(1)工程预付款在合同累计完成金额达到签约合同价的　　%时开始扣款，直至合同累计完成金额达到签约合同价的%时全部扣清。</w:t>
      </w:r>
    </w:p>
    <w:p w14:paraId="4B5994B9">
      <w:pPr>
        <w:rPr>
          <w:rFonts w:hint="eastAsia"/>
        </w:rPr>
      </w:pPr>
      <w:r>
        <w:rPr>
          <w:rFonts w:hint="eastAsia"/>
        </w:rPr>
        <w:t>　　　　　　　　　　　　　　　　　</w:t>
      </w:r>
      <w:r>
        <w:fldChar w:fldCharType="begin"/>
      </w:r>
      <w:r>
        <w:instrText xml:space="preserve"> QUOTE </w:instrText>
      </w:r>
      <w:r>
        <w:rPr>
          <w:rFonts w:hint="eastAsia"/>
          <w:position w:val="-24"/>
        </w:rPr>
        <w:pict>
          <v:shape id="_x0000_i1025" o:spt="75" type="#_x0000_t75" style="height:31.5pt;width:99pt;" filled="f" stroked="f" coordsize="21600,21600" equationxml="&lt;?xml version=&quot;1.0&quot; encoding=&quot;UTF-8&quot; standalone=&quot;yes&quot;?&gt;&#13;&#10;&lt;?mso-application progid=&quot;Word.Document&quot;?&gt;&#13;&#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text-fit&quot; w:percent=&quot;188&quot;/&gt;&lt;w:doNotEmbedSystemFonts/&gt;&lt;w:bordersDontSurroundHeader/&gt;&lt;w:bordersDontSurroundFooter/&gt;&lt;w:hideSpellingErrors/&gt;&lt;w:stylePaneFormatFilter w:val=&quot;3F01&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D57EE&quot;/&gt;&lt;wsp:rsid wsp:val=&quot;000143FB&quot;/&gt;&lt;wsp:rsid wsp:val=&quot;00014C8B&quot;/&gt;&lt;wsp:rsid wsp:val=&quot;00020790&quot;/&gt;&lt;wsp:rsid wsp:val=&quot;000244D7&quot;/&gt;&lt;wsp:rsid wsp:val=&quot;0002697F&quot;/&gt;&lt;wsp:rsid wsp:val=&quot;00027877&quot;/&gt;&lt;wsp:rsid wsp:val=&quot;00030315&quot;/&gt;&lt;wsp:rsid wsp:val=&quot;00032EC3&quot;/&gt;&lt;wsp:rsid wsp:val=&quot;00035706&quot;/&gt;&lt;wsp:rsid wsp:val=&quot;00036F0D&quot;/&gt;&lt;wsp:rsid wsp:val=&quot;00040951&quot;/&gt;&lt;wsp:rsid wsp:val=&quot;000513EE&quot;/&gt;&lt;wsp:rsid wsp:val=&quot;000579AC&quot;/&gt;&lt;wsp:rsid wsp:val=&quot;000604A6&quot;/&gt;&lt;wsp:rsid wsp:val=&quot;00060A62&quot;/&gt;&lt;wsp:rsid wsp:val=&quot;0006472F&quot;/&gt;&lt;wsp:rsid wsp:val=&quot;00064B5A&quot;/&gt;&lt;wsp:rsid wsp:val=&quot;000673D8&quot;/&gt;&lt;wsp:rsid wsp:val=&quot;00070B9C&quot;/&gt;&lt;wsp:rsid wsp:val=&quot;000729B4&quot;/&gt;&lt;wsp:rsid wsp:val=&quot;00073EC7&quot;/&gt;&lt;wsp:rsid wsp:val=&quot;000753F2&quot;/&gt;&lt;wsp:rsid wsp:val=&quot;000839C3&quot;/&gt;&lt;wsp:rsid wsp:val=&quot;00090E83&quot;/&gt;&lt;wsp:rsid wsp:val=&quot;0009326D&quot;/&gt;&lt;wsp:rsid wsp:val=&quot;00096FEA&quot;/&gt;&lt;wsp:rsid wsp:val=&quot;000A18B0&quot;/&gt;&lt;wsp:rsid wsp:val=&quot;000A6F4F&quot;/&gt;&lt;wsp:rsid wsp:val=&quot;000B2878&quot;/&gt;&lt;wsp:rsid wsp:val=&quot;000B676F&quot;/&gt;&lt;wsp:rsid wsp:val=&quot;000C0351&quot;/&gt;&lt;wsp:rsid wsp:val=&quot;000C1C90&quot;/&gt;&lt;wsp:rsid wsp:val=&quot;000C7193&quot;/&gt;&lt;wsp:rsid wsp:val=&quot;000D155F&quot;/&gt;&lt;wsp:rsid wsp:val=&quot;000D1D74&quot;/&gt;&lt;wsp:rsid wsp:val=&quot;000D57EE&quot;/&gt;&lt;wsp:rsid wsp:val=&quot;000D60ED&quot;/&gt;&lt;wsp:rsid wsp:val=&quot;000E1EEE&quot;/&gt;&lt;wsp:rsid wsp:val=&quot;000E5FB4&quot;/&gt;&lt;wsp:rsid wsp:val=&quot;000F030A&quot;/&gt;&lt;wsp:rsid wsp:val=&quot;000F1980&quot;/&gt;&lt;wsp:rsid wsp:val=&quot;000F6FAE&quot;/&gt;&lt;wsp:rsid wsp:val=&quot;00101332&quot;/&gt;&lt;wsp:rsid wsp:val=&quot;0010179B&quot;/&gt;&lt;wsp:rsid wsp:val=&quot;00110F48&quot;/&gt;&lt;wsp:rsid wsp:val=&quot;001119A3&quot;/&gt;&lt;wsp:rsid wsp:val=&quot;00115B0B&quot;/&gt;&lt;wsp:rsid wsp:val=&quot;00134CD7&quot;/&gt;&lt;wsp:rsid wsp:val=&quot;001354CA&quot;/&gt;&lt;wsp:rsid wsp:val=&quot;001423FD&quot;/&gt;&lt;wsp:rsid wsp:val=&quot;00142E3D&quot;/&gt;&lt;wsp:rsid wsp:val=&quot;001436D0&quot;/&gt;&lt;wsp:rsid wsp:val=&quot;00147AA1&quot;/&gt;&lt;wsp:rsid wsp:val=&quot;001524B1&quot;/&gt;&lt;wsp:rsid wsp:val=&quot;00154C76&quot;/&gt;&lt;wsp:rsid wsp:val=&quot;00163AC7&quot;/&gt;&lt;wsp:rsid wsp:val=&quot;00167705&quot;/&gt;&lt;wsp:rsid wsp:val=&quot;00167E6C&quot;/&gt;&lt;wsp:rsid wsp:val=&quot;001701B3&quot;/&gt;&lt;wsp:rsid wsp:val=&quot;00173117&quot;/&gt;&lt;wsp:rsid wsp:val=&quot;0017357C&quot;/&gt;&lt;wsp:rsid wsp:val=&quot;00175FC2&quot;/&gt;&lt;wsp:rsid wsp:val=&quot;0018685E&quot;/&gt;&lt;wsp:rsid wsp:val=&quot;00187473&quot;/&gt;&lt;wsp:rsid wsp:val=&quot;0019016A&quot;/&gt;&lt;wsp:rsid wsp:val=&quot;00190AED&quot;/&gt;&lt;wsp:rsid wsp:val=&quot;00192BBD&quot;/&gt;&lt;wsp:rsid wsp:val=&quot;00195538&quot;/&gt;&lt;wsp:rsid wsp:val=&quot;001B17B3&quot;/&gt;&lt;wsp:rsid wsp:val=&quot;001B191F&quot;/&gt;&lt;wsp:rsid wsp:val=&quot;001B39B3&quot;/&gt;&lt;wsp:rsid wsp:val=&quot;001B3D2A&quot;/&gt;&lt;wsp:rsid wsp:val=&quot;001D0C69&quot;/&gt;&lt;wsp:rsid wsp:val=&quot;001D14C2&quot;/&gt;&lt;wsp:rsid wsp:val=&quot;001E18DE&quot;/&gt;&lt;wsp:rsid wsp:val=&quot;001F02F3&quot;/&gt;&lt;wsp:rsid wsp:val=&quot;001F3487&quot;/&gt;&lt;wsp:rsid wsp:val=&quot;0020261D&quot;/&gt;&lt;wsp:rsid wsp:val=&quot;00206894&quot;/&gt;&lt;wsp:rsid wsp:val=&quot;00216FAF&quot;/&gt;&lt;wsp:rsid wsp:val=&quot;00217683&quot;/&gt;&lt;wsp:rsid wsp:val=&quot;00217694&quot;/&gt;&lt;wsp:rsid wsp:val=&quot;00217A9B&quot;/&gt;&lt;wsp:rsid wsp:val=&quot;00221835&quot;/&gt;&lt;wsp:rsid wsp:val=&quot;0022566D&quot;/&gt;&lt;wsp:rsid wsp:val=&quot;00227CC3&quot;/&gt;&lt;wsp:rsid wsp:val=&quot;00231C4B&quot;/&gt;&lt;wsp:rsid wsp:val=&quot;00237EBE&quot;/&gt;&lt;wsp:rsid wsp:val=&quot;002435AC&quot;/&gt;&lt;wsp:rsid wsp:val=&quot;00243F71&quot;/&gt;&lt;wsp:rsid wsp:val=&quot;00253142&quot;/&gt;&lt;wsp:rsid wsp:val=&quot;0026293E&quot;/&gt;&lt;wsp:rsid wsp:val=&quot;00263EC0&quot;/&gt;&lt;wsp:rsid wsp:val=&quot;00273896&quot;/&gt;&lt;wsp:rsid wsp:val=&quot;00273E53&quot;/&gt;&lt;wsp:rsid wsp:val=&quot;002A4944&quot;/&gt;&lt;wsp:rsid wsp:val=&quot;002A578C&quot;/&gt;&lt;wsp:rsid wsp:val=&quot;002A6999&quot;/&gt;&lt;wsp:rsid wsp:val=&quot;002B0B93&quot;/&gt;&lt;wsp:rsid wsp:val=&quot;002B2402&quot;/&gt;&lt;wsp:rsid wsp:val=&quot;002B4203&quot;/&gt;&lt;wsp:rsid wsp:val=&quot;002B4B6C&quot;/&gt;&lt;wsp:rsid wsp:val=&quot;002C70A0&quot;/&gt;&lt;wsp:rsid wsp:val=&quot;002C712F&quot;/&gt;&lt;wsp:rsid wsp:val=&quot;002D3F5E&quot;/&gt;&lt;wsp:rsid wsp:val=&quot;002D66FE&quot;/&gt;&lt;wsp:rsid wsp:val=&quot;002D6DCF&quot;/&gt;&lt;wsp:rsid wsp:val=&quot;002E271D&quot;/&gt;&lt;wsp:rsid wsp:val=&quot;002F238B&quot;/&gt;&lt;wsp:rsid wsp:val=&quot;002F28A4&quot;/&gt;&lt;wsp:rsid wsp:val=&quot;002F472B&quot;/&gt;&lt;wsp:rsid wsp:val=&quot;002F5ABE&quot;/&gt;&lt;wsp:rsid wsp:val=&quot;00303120&quot;/&gt;&lt;wsp:rsid wsp:val=&quot;003034FB&quot;/&gt;&lt;wsp:rsid wsp:val=&quot;00311A79&quot;/&gt;&lt;wsp:rsid wsp:val=&quot;00311AC1&quot;/&gt;&lt;wsp:rsid wsp:val=&quot;00312F2D&quot;/&gt;&lt;wsp:rsid wsp:val=&quot;0032386C&quot;/&gt;&lt;wsp:rsid wsp:val=&quot;0032640A&quot;/&gt;&lt;wsp:rsid wsp:val=&quot;00330C8A&quot;/&gt;&lt;wsp:rsid wsp:val=&quot;00330E37&quot;/&gt;&lt;wsp:rsid wsp:val=&quot;00334111&quot;/&gt;&lt;wsp:rsid wsp:val=&quot;0033443D&quot;/&gt;&lt;wsp:rsid wsp:val=&quot;003452A6&quot;/&gt;&lt;wsp:rsid wsp:val=&quot;003557A3&quot;/&gt;&lt;wsp:rsid wsp:val=&quot;00370533&quot;/&gt;&lt;wsp:rsid wsp:val=&quot;00374479&quot;/&gt;&lt;wsp:rsid wsp:val=&quot;00384E0D&quot;/&gt;&lt;wsp:rsid wsp:val=&quot;003873C7&quot;/&gt;&lt;wsp:rsid wsp:val=&quot;00390909&quot;/&gt;&lt;wsp:rsid wsp:val=&quot;00392823&quot;/&gt;&lt;wsp:rsid wsp:val=&quot;00392D7C&quot;/&gt;&lt;wsp:rsid wsp:val=&quot;00395E0D&quot;/&gt;&lt;wsp:rsid wsp:val=&quot;003A0B1A&quot;/&gt;&lt;wsp:rsid wsp:val=&quot;003A296A&quot;/&gt;&lt;wsp:rsid wsp:val=&quot;003A5DD9&quot;/&gt;&lt;wsp:rsid wsp:val=&quot;003A6803&quot;/&gt;&lt;wsp:rsid wsp:val=&quot;003B4DF6&quot;/&gt;&lt;wsp:rsid wsp:val=&quot;003C0686&quot;/&gt;&lt;wsp:rsid wsp:val=&quot;003C19E1&quot;/&gt;&lt;wsp:rsid wsp:val=&quot;003C1B0E&quot;/&gt;&lt;wsp:rsid wsp:val=&quot;003C3490&quot;/&gt;&lt;wsp:rsid wsp:val=&quot;003C4775&quot;/&gt;&lt;wsp:rsid wsp:val=&quot;003C4A16&quot;/&gt;&lt;wsp:rsid wsp:val=&quot;003D4F30&quot;/&gt;&lt;wsp:rsid wsp:val=&quot;003E782D&quot;/&gt;&lt;wsp:rsid wsp:val=&quot;003F115A&quot;/&gt;&lt;wsp:rsid wsp:val=&quot;003F38C1&quot;/&gt;&lt;wsp:rsid wsp:val=&quot;003F6052&quot;/&gt;&lt;wsp:rsid wsp:val=&quot;004007DB&quot;/&gt;&lt;wsp:rsid wsp:val=&quot;004042F9&quot;/&gt;&lt;wsp:rsid wsp:val=&quot;0040519B&quot;/&gt;&lt;wsp:rsid wsp:val=&quot;00407207&quot;/&gt;&lt;wsp:rsid wsp:val=&quot;004121CA&quot;/&gt;&lt;wsp:rsid wsp:val=&quot;004148C4&quot;/&gt;&lt;wsp:rsid wsp:val=&quot;00415416&quot;/&gt;&lt;wsp:rsid wsp:val=&quot;0041587E&quot;/&gt;&lt;wsp:rsid wsp:val=&quot;00415F6E&quot;/&gt;&lt;wsp:rsid wsp:val=&quot;0042357F&quot;/&gt;&lt;wsp:rsid wsp:val=&quot;00426AA5&quot;/&gt;&lt;wsp:rsid wsp:val=&quot;00432084&quot;/&gt;&lt;wsp:rsid wsp:val=&quot;004326A1&quot;/&gt;&lt;wsp:rsid wsp:val=&quot;00440A75&quot;/&gt;&lt;wsp:rsid wsp:val=&quot;0044506E&quot;/&gt;&lt;wsp:rsid wsp:val=&quot;00445CD5&quot;/&gt;&lt;wsp:rsid wsp:val=&quot;00451DB4&quot;/&gt;&lt;wsp:rsid wsp:val=&quot;00457601&quot;/&gt;&lt;wsp:rsid wsp:val=&quot;004660D1&quot;/&gt;&lt;wsp:rsid wsp:val=&quot;00471E99&quot;/&gt;&lt;wsp:rsid wsp:val=&quot;00471F74&quot;/&gt;&lt;wsp:rsid wsp:val=&quot;004724CF&quot;/&gt;&lt;wsp:rsid wsp:val=&quot;0048051F&quot;/&gt;&lt;wsp:rsid wsp:val=&quot;004821B3&quot;/&gt;&lt;wsp:rsid wsp:val=&quot;0048239C&quot;/&gt;&lt;wsp:rsid wsp:val=&quot;00487E37&quot;/&gt;&lt;wsp:rsid wsp:val=&quot;0049107A&quot;/&gt;&lt;wsp:rsid wsp:val=&quot;00494967&quot;/&gt;&lt;wsp:rsid wsp:val=&quot;00494995&quot;/&gt;&lt;wsp:rsid wsp:val=&quot;00494DB4&quot;/&gt;&lt;wsp:rsid wsp:val=&quot;004B3B62&quot;/&gt;&lt;wsp:rsid wsp:val=&quot;004B4343&quot;/&gt;&lt;wsp:rsid wsp:val=&quot;004B4B48&quot;/&gt;&lt;wsp:rsid wsp:val=&quot;004C6D8A&quot;/&gt;&lt;wsp:rsid wsp:val=&quot;004C7030&quot;/&gt;&lt;wsp:rsid wsp:val=&quot;004D0958&quot;/&gt;&lt;wsp:rsid wsp:val=&quot;004D55BA&quot;/&gt;&lt;wsp:rsid wsp:val=&quot;004D6A41&quot;/&gt;&lt;wsp:rsid wsp:val=&quot;004E1976&quot;/&gt;&lt;wsp:rsid wsp:val=&quot;004E50AF&quot;/&gt;&lt;wsp:rsid wsp:val=&quot;004E563B&quot;/&gt;&lt;wsp:rsid wsp:val=&quot;004E5DA9&quot;/&gt;&lt;wsp:rsid wsp:val=&quot;004E683F&quot;/&gt;&lt;wsp:rsid wsp:val=&quot;0051218F&quot;/&gt;&lt;wsp:rsid wsp:val=&quot;005147D7&quot;/&gt;&lt;wsp:rsid wsp:val=&quot;00517576&quot;/&gt;&lt;wsp:rsid wsp:val=&quot;00523C67&quot;/&gt;&lt;wsp:rsid wsp:val=&quot;0052596B&quot;/&gt;&lt;wsp:rsid wsp:val=&quot;00533B9E&quot;/&gt;&lt;wsp:rsid wsp:val=&quot;00533C02&quot;/&gt;&lt;wsp:rsid wsp:val=&quot;005474B3&quot;/&gt;&lt;wsp:rsid wsp:val=&quot;005478B1&quot;/&gt;&lt;wsp:rsid wsp:val=&quot;005508B0&quot;/&gt;&lt;wsp:rsid wsp:val=&quot;005539AE&quot;/&gt;&lt;wsp:rsid wsp:val=&quot;00553D73&quot;/&gt;&lt;wsp:rsid wsp:val=&quot;00554412&quot;/&gt;&lt;wsp:rsid wsp:val=&quot;00560211&quot;/&gt;&lt;wsp:rsid wsp:val=&quot;005648D2&quot;/&gt;&lt;wsp:rsid wsp:val=&quot;00564DE5&quot;/&gt;&lt;wsp:rsid wsp:val=&quot;00571235&quot;/&gt;&lt;wsp:rsid wsp:val=&quot;0057200B&quot;/&gt;&lt;wsp:rsid wsp:val=&quot;00573CD3&quot;/&gt;&lt;wsp:rsid wsp:val=&quot;00573DF0&quot;/&gt;&lt;wsp:rsid wsp:val=&quot;00574069&quot;/&gt;&lt;wsp:rsid wsp:val=&quot;00582600&quot;/&gt;&lt;wsp:rsid wsp:val=&quot;00583781&quot;/&gt;&lt;wsp:rsid wsp:val=&quot;005928F9&quot;/&gt;&lt;wsp:rsid wsp:val=&quot;00595B8E&quot;/&gt;&lt;wsp:rsid wsp:val=&quot;00597BC5&quot;/&gt;&lt;wsp:rsid wsp:val=&quot;005A07A2&quot;/&gt;&lt;wsp:rsid wsp:val=&quot;005A2134&quot;/&gt;&lt;wsp:rsid wsp:val=&quot;005A2198&quot;/&gt;&lt;wsp:rsid wsp:val=&quot;005B20E3&quot;/&gt;&lt;wsp:rsid wsp:val=&quot;005C219B&quot;/&gt;&lt;wsp:rsid wsp:val=&quot;005C21AA&quot;/&gt;&lt;wsp:rsid wsp:val=&quot;005C30CF&quot;/&gt;&lt;wsp:rsid wsp:val=&quot;005C3112&quot;/&gt;&lt;wsp:rsid wsp:val=&quot;005C6011&quot;/&gt;&lt;wsp:rsid wsp:val=&quot;005D06F9&quot;/&gt;&lt;wsp:rsid wsp:val=&quot;005D0AD3&quot;/&gt;&lt;wsp:rsid wsp:val=&quot;005D18D9&quot;/&gt;&lt;wsp:rsid wsp:val=&quot;005D2263&quot;/&gt;&lt;wsp:rsid wsp:val=&quot;005D2CBB&quot;/&gt;&lt;wsp:rsid wsp:val=&quot;005D4A57&quot;/&gt;&lt;wsp:rsid wsp:val=&quot;005E231D&quot;/&gt;&lt;wsp:rsid wsp:val=&quot;005E439B&quot;/&gt;&lt;wsp:rsid wsp:val=&quot;005E463B&quot;/&gt;&lt;wsp:rsid wsp:val=&quot;005E6123&quot;/&gt;&lt;wsp:rsid wsp:val=&quot;005F628F&quot;/&gt;&lt;wsp:rsid wsp:val=&quot;00601C1C&quot;/&gt;&lt;wsp:rsid wsp:val=&quot;0060221F&quot;/&gt;&lt;wsp:rsid wsp:val=&quot;00602DD8&quot;/&gt;&lt;wsp:rsid wsp:val=&quot;00603B24&quot;/&gt;&lt;wsp:rsid wsp:val=&quot;00604DCD&quot;/&gt;&lt;wsp:rsid wsp:val=&quot;00605815&quot;/&gt;&lt;wsp:rsid wsp:val=&quot;00607BEB&quot;/&gt;&lt;wsp:rsid wsp:val=&quot;00623E84&quot;/&gt;&lt;wsp:rsid wsp:val=&quot;00632614&quot;/&gt;&lt;wsp:rsid wsp:val=&quot;00633E0C&quot;/&gt;&lt;wsp:rsid wsp:val=&quot;006406CF&quot;/&gt;&lt;wsp:rsid wsp:val=&quot;00642B61&quot;/&gt;&lt;wsp:rsid wsp:val=&quot;00651FDE&quot;/&gt;&lt;wsp:rsid wsp:val=&quot;006530AB&quot;/&gt;&lt;wsp:rsid wsp:val=&quot;00663D4A&quot;/&gt;&lt;wsp:rsid wsp:val=&quot;00670AE2&quot;/&gt;&lt;wsp:rsid wsp:val=&quot;006726AE&quot;/&gt;&lt;wsp:rsid wsp:val=&quot;0067433C&quot;/&gt;&lt;wsp:rsid wsp:val=&quot;00685518&quot;/&gt;&lt;wsp:rsid wsp:val=&quot;00690C8C&quot;/&gt;&lt;wsp:rsid wsp:val=&quot;006B4255&quot;/&gt;&lt;wsp:rsid wsp:val=&quot;006B622F&quot;/&gt;&lt;wsp:rsid wsp:val=&quot;006D4B9D&quot;/&gt;&lt;wsp:rsid wsp:val=&quot;006E1017&quot;/&gt;&lt;wsp:rsid wsp:val=&quot;006F218F&quot;/&gt;&lt;wsp:rsid wsp:val=&quot;006F797F&quot;/&gt;&lt;wsp:rsid wsp:val=&quot;00704A4C&quot;/&gt;&lt;wsp:rsid wsp:val=&quot;00706B09&quot;/&gt;&lt;wsp:rsid wsp:val=&quot;00710241&quot;/&gt;&lt;wsp:rsid wsp:val=&quot;00710416&quot;/&gt;&lt;wsp:rsid wsp:val=&quot;007115F9&quot;/&gt;&lt;wsp:rsid wsp:val=&quot;00715B58&quot;/&gt;&lt;wsp:rsid wsp:val=&quot;007179F3&quot;/&gt;&lt;wsp:rsid wsp:val=&quot;007239BD&quot;/&gt;&lt;wsp:rsid wsp:val=&quot;00724982&quot;/&gt;&lt;wsp:rsid wsp:val=&quot;00742197&quot;/&gt;&lt;wsp:rsid wsp:val=&quot;00743A22&quot;/&gt;&lt;wsp:rsid wsp:val=&quot;0075222B&quot;/&gt;&lt;wsp:rsid wsp:val=&quot;0075414C&quot;/&gt;&lt;wsp:rsid wsp:val=&quot;0076388B&quot;/&gt;&lt;wsp:rsid wsp:val=&quot;00766FE7&quot;/&gt;&lt;wsp:rsid wsp:val=&quot;00775FFB&quot;/&gt;&lt;wsp:rsid wsp:val=&quot;0078704B&quot;/&gt;&lt;wsp:rsid wsp:val=&quot;0079167C&quot;/&gt;&lt;wsp:rsid wsp:val=&quot;00794214&quot;/&gt;&lt;wsp:rsid wsp:val=&quot;007B40D5&quot;/&gt;&lt;wsp:rsid wsp:val=&quot;007C0311&quot;/&gt;&lt;wsp:rsid wsp:val=&quot;007D0F15&quot;/&gt;&lt;wsp:rsid wsp:val=&quot;007D7AFF&quot;/&gt;&lt;wsp:rsid wsp:val=&quot;007E411B&quot;/&gt;&lt;wsp:rsid wsp:val=&quot;007E7561&quot;/&gt;&lt;wsp:rsid wsp:val=&quot;007F4178&quot;/&gt;&lt;wsp:rsid wsp:val=&quot;007F554F&quot;/&gt;&lt;wsp:rsid wsp:val=&quot;007F74E4&quot;/&gt;&lt;wsp:rsid wsp:val=&quot;007F76E0&quot;/&gt;&lt;wsp:rsid wsp:val=&quot;008031FE&quot;/&gt;&lt;wsp:rsid wsp:val=&quot;008042E6&quot;/&gt;&lt;wsp:rsid wsp:val=&quot;008068EF&quot;/&gt;&lt;wsp:rsid wsp:val=&quot;00812CB4&quot;/&gt;&lt;wsp:rsid wsp:val=&quot;00815B7F&quot;/&gt;&lt;wsp:rsid wsp:val=&quot;00823629&quot;/&gt;&lt;wsp:rsid wsp:val=&quot;008246B0&quot;/&gt;&lt;wsp:rsid wsp:val=&quot;00830820&quot;/&gt;&lt;wsp:rsid wsp:val=&quot;0083315B&quot;/&gt;&lt;wsp:rsid wsp:val=&quot;008340BD&quot;/&gt;&lt;wsp:rsid wsp:val=&quot;008558F7&quot;/&gt;&lt;wsp:rsid wsp:val=&quot;00863458&quot;/&gt;&lt;wsp:rsid wsp:val=&quot;008824B5&quot;/&gt;&lt;wsp:rsid wsp:val=&quot;00884E58&quot;/&gt;&lt;wsp:rsid wsp:val=&quot;0089331E&quot;/&gt;&lt;wsp:rsid wsp:val=&quot;00896FAC&quot;/&gt;&lt;wsp:rsid wsp:val=&quot;008A35D8&quot;/&gt;&lt;wsp:rsid wsp:val=&quot;008C1153&quot;/&gt;&lt;wsp:rsid wsp:val=&quot;008C5D4A&quot;/&gt;&lt;wsp:rsid wsp:val=&quot;008C6580&quot;/&gt;&lt;wsp:rsid wsp:val=&quot;008D3544&quot;/&gt;&lt;wsp:rsid wsp:val=&quot;008E1719&quot;/&gt;&lt;wsp:rsid wsp:val=&quot;008E2A7F&quot;/&gt;&lt;wsp:rsid wsp:val=&quot;008F4FF2&quot;/&gt;&lt;wsp:rsid wsp:val=&quot;008F55E2&quot;/&gt;&lt;wsp:rsid wsp:val=&quot;00906E30&quot;/&gt;&lt;wsp:rsid wsp:val=&quot;009116B6&quot;/&gt;&lt;wsp:rsid wsp:val=&quot;0093774F&quot;/&gt;&lt;wsp:rsid wsp:val=&quot;00971652&quot;/&gt;&lt;wsp:rsid wsp:val=&quot;0097443D&quot;/&gt;&lt;wsp:rsid wsp:val=&quot;00982FCC&quot;/&gt;&lt;wsp:rsid wsp:val=&quot;0098314B&quot;/&gt;&lt;wsp:rsid wsp:val=&quot;00983444&quot;/&gt;&lt;wsp:rsid wsp:val=&quot;00986F65&quot;/&gt;&lt;wsp:rsid wsp:val=&quot;00990E46&quot;/&gt;&lt;wsp:rsid wsp:val=&quot;0099623A&quot;/&gt;&lt;wsp:rsid wsp:val=&quot;009A39AB&quot;/&gt;&lt;wsp:rsid wsp:val=&quot;009A4C7B&quot;/&gt;&lt;wsp:rsid wsp:val=&quot;009A597B&quot;/&gt;&lt;wsp:rsid wsp:val=&quot;009B779E&quot;/&gt;&lt;wsp:rsid wsp:val=&quot;009C1616&quot;/&gt;&lt;wsp:rsid wsp:val=&quot;009C34E5&quot;/&gt;&lt;wsp:rsid wsp:val=&quot;009C629B&quot;/&gt;&lt;wsp:rsid wsp:val=&quot;009C797F&quot;/&gt;&lt;wsp:rsid wsp:val=&quot;009E635E&quot;/&gt;&lt;wsp:rsid wsp:val=&quot;009F0099&quot;/&gt;&lt;wsp:rsid wsp:val=&quot;009F5F12&quot;/&gt;&lt;wsp:rsid wsp:val=&quot;00A00E8B&quot;/&gt;&lt;wsp:rsid wsp:val=&quot;00A014F3&quot;/&gt;&lt;wsp:rsid wsp:val=&quot;00A10F1A&quot;/&gt;&lt;wsp:rsid wsp:val=&quot;00A21015&quot;/&gt;&lt;wsp:rsid wsp:val=&quot;00A234BA&quot;/&gt;&lt;wsp:rsid wsp:val=&quot;00A313D3&quot;/&gt;&lt;wsp:rsid wsp:val=&quot;00A32CA9&quot;/&gt;&lt;wsp:rsid wsp:val=&quot;00A3469F&quot;/&gt;&lt;wsp:rsid wsp:val=&quot;00A42F9F&quot;/&gt;&lt;wsp:rsid wsp:val=&quot;00A4379E&quot;/&gt;&lt;wsp:rsid wsp:val=&quot;00A43BA3&quot;/&gt;&lt;wsp:rsid wsp:val=&quot;00A45CD2&quot;/&gt;&lt;wsp:rsid wsp:val=&quot;00A461FC&quot;/&gt;&lt;wsp:rsid wsp:val=&quot;00A516B9&quot;/&gt;&lt;wsp:rsid wsp:val=&quot;00A5472C&quot;/&gt;&lt;wsp:rsid wsp:val=&quot;00A55544&quot;/&gt;&lt;wsp:rsid wsp:val=&quot;00A61E62&quot;/&gt;&lt;wsp:rsid wsp:val=&quot;00A63B6E&quot;/&gt;&lt;wsp:rsid wsp:val=&quot;00A72C35&quot;/&gt;&lt;wsp:rsid wsp:val=&quot;00A73B95&quot;/&gt;&lt;wsp:rsid wsp:val=&quot;00A74C22&quot;/&gt;&lt;wsp:rsid wsp:val=&quot;00A76587&quot;/&gt;&lt;wsp:rsid wsp:val=&quot;00A77102&quot;/&gt;&lt;wsp:rsid wsp:val=&quot;00A906E2&quot;/&gt;&lt;wsp:rsid wsp:val=&quot;00A92B64&quot;/&gt;&lt;wsp:rsid wsp:val=&quot;00A97CEF&quot;/&gt;&lt;wsp:rsid wsp:val=&quot;00AA6650&quot;/&gt;&lt;wsp:rsid wsp:val=&quot;00AB45DA&quot;/&gt;&lt;wsp:rsid wsp:val=&quot;00AB74BB&quot;/&gt;&lt;wsp:rsid wsp:val=&quot;00AC3695&quot;/&gt;&lt;wsp:rsid wsp:val=&quot;00AC44E2&quot;/&gt;&lt;wsp:rsid wsp:val=&quot;00AD4ED7&quot;/&gt;&lt;wsp:rsid wsp:val=&quot;00AD5BD1&quot;/&gt;&lt;wsp:rsid wsp:val=&quot;00AE31D5&quot;/&gt;&lt;wsp:rsid wsp:val=&quot;00AF5A12&quot;/&gt;&lt;wsp:rsid wsp:val=&quot;00AF7544&quot;/&gt;&lt;wsp:rsid wsp:val=&quot;00B06B7E&quot;/&gt;&lt;wsp:rsid wsp:val=&quot;00B136B2&quot;/&gt;&lt;wsp:rsid wsp:val=&quot;00B14ED4&quot;/&gt;&lt;wsp:rsid wsp:val=&quot;00B16D96&quot;/&gt;&lt;wsp:rsid wsp:val=&quot;00B22299&quot;/&gt;&lt;wsp:rsid wsp:val=&quot;00B24936&quot;/&gt;&lt;wsp:rsid wsp:val=&quot;00B2754F&quot;/&gt;&lt;wsp:rsid wsp:val=&quot;00B305B2&quot;/&gt;&lt;wsp:rsid wsp:val=&quot;00B346A9&quot;/&gt;&lt;wsp:rsid wsp:val=&quot;00B34A94&quot;/&gt;&lt;wsp:rsid wsp:val=&quot;00B50A7A&quot;/&gt;&lt;wsp:rsid wsp:val=&quot;00B54A7B&quot;/&gt;&lt;wsp:rsid wsp:val=&quot;00B551D8&quot;/&gt;&lt;wsp:rsid wsp:val=&quot;00B61455&quot;/&gt;&lt;wsp:rsid wsp:val=&quot;00B620B6&quot;/&gt;&lt;wsp:rsid wsp:val=&quot;00B70683&quot;/&gt;&lt;wsp:rsid wsp:val=&quot;00B72ACB&quot;/&gt;&lt;wsp:rsid wsp:val=&quot;00B8132C&quot;/&gt;&lt;wsp:rsid wsp:val=&quot;00B82D19&quot;/&gt;&lt;wsp:rsid wsp:val=&quot;00B85335&quot;/&gt;&lt;wsp:rsid wsp:val=&quot;00B905C0&quot;/&gt;&lt;wsp:rsid wsp:val=&quot;00B912F4&quot;/&gt;&lt;wsp:rsid wsp:val=&quot;00B937E9&quot;/&gt;&lt;wsp:rsid wsp:val=&quot;00B9549A&quot;/&gt;&lt;wsp:rsid wsp:val=&quot;00B96394&quot;/&gt;&lt;wsp:rsid wsp:val=&quot;00B97060&quot;/&gt;&lt;wsp:rsid wsp:val=&quot;00BA187E&quot;/&gt;&lt;wsp:rsid wsp:val=&quot;00BA4DD6&quot;/&gt;&lt;wsp:rsid wsp:val=&quot;00BA527A&quot;/&gt;&lt;wsp:rsid wsp:val=&quot;00BB739A&quot;/&gt;&lt;wsp:rsid wsp:val=&quot;00BC42DA&quot;/&gt;&lt;wsp:rsid wsp:val=&quot;00BC46A3&quot;/&gt;&lt;wsp:rsid wsp:val=&quot;00BC7590&quot;/&gt;&lt;wsp:rsid wsp:val=&quot;00BC76D7&quot;/&gt;&lt;wsp:rsid wsp:val=&quot;00BD551E&quot;/&gt;&lt;wsp:rsid wsp:val=&quot;00BD5A4F&quot;/&gt;&lt;wsp:rsid wsp:val=&quot;00BD768F&quot;/&gt;&lt;wsp:rsid wsp:val=&quot;00BE5983&quot;/&gt;&lt;wsp:rsid wsp:val=&quot;00BF0B98&quot;/&gt;&lt;wsp:rsid wsp:val=&quot;00BF0E17&quot;/&gt;&lt;wsp:rsid wsp:val=&quot;00BF3CFC&quot;/&gt;&lt;wsp:rsid wsp:val=&quot;00BF6025&quot;/&gt;&lt;wsp:rsid wsp:val=&quot;00C01FB2&quot;/&gt;&lt;wsp:rsid wsp:val=&quot;00C04D5C&quot;/&gt;&lt;wsp:rsid wsp:val=&quot;00C06F81&quot;/&gt;&lt;wsp:rsid wsp:val=&quot;00C20237&quot;/&gt;&lt;wsp:rsid wsp:val=&quot;00C22EB7&quot;/&gt;&lt;wsp:rsid wsp:val=&quot;00C324A9&quot;/&gt;&lt;wsp:rsid wsp:val=&quot;00C325F3&quot;/&gt;&lt;wsp:rsid wsp:val=&quot;00C346CC&quot;/&gt;&lt;wsp:rsid wsp:val=&quot;00C3514D&quot;/&gt;&lt;wsp:rsid wsp:val=&quot;00C4401A&quot;/&gt;&lt;wsp:rsid wsp:val=&quot;00C5227D&quot;/&gt;&lt;wsp:rsid wsp:val=&quot;00C5609B&quot;/&gt;&lt;wsp:rsid wsp:val=&quot;00C56E68&quot;/&gt;&lt;wsp:rsid wsp:val=&quot;00C57779&quot;/&gt;&lt;wsp:rsid wsp:val=&quot;00C71788&quot;/&gt;&lt;wsp:rsid wsp:val=&quot;00C73D14&quot;/&gt;&lt;wsp:rsid wsp:val=&quot;00C75E36&quot;/&gt;&lt;wsp:rsid wsp:val=&quot;00C80484&quot;/&gt;&lt;wsp:rsid wsp:val=&quot;00C80B7C&quot;/&gt;&lt;wsp:rsid wsp:val=&quot;00C8260B&quot;/&gt;&lt;wsp:rsid wsp:val=&quot;00C87504&quot;/&gt;&lt;wsp:rsid wsp:val=&quot;00C90E02&quot;/&gt;&lt;wsp:rsid wsp:val=&quot;00CA11E7&quot;/&gt;&lt;wsp:rsid wsp:val=&quot;00CB5566&quot;/&gt;&lt;wsp:rsid wsp:val=&quot;00CC6806&quot;/&gt;&lt;wsp:rsid wsp:val=&quot;00CC6A56&quot;/&gt;&lt;wsp:rsid wsp:val=&quot;00CD2E25&quot;/&gt;&lt;wsp:rsid wsp:val=&quot;00CD5B6E&quot;/&gt;&lt;wsp:rsid wsp:val=&quot;00CD723F&quot;/&gt;&lt;wsp:rsid wsp:val=&quot;00CE7E79&quot;/&gt;&lt;wsp:rsid wsp:val=&quot;00CF3050&quot;/&gt;&lt;wsp:rsid wsp:val=&quot;00CF4544&quot;/&gt;&lt;wsp:rsid wsp:val=&quot;00D0341C&quot;/&gt;&lt;wsp:rsid wsp:val=&quot;00D11CF3&quot;/&gt;&lt;wsp:rsid wsp:val=&quot;00D120BB&quot;/&gt;&lt;wsp:rsid wsp:val=&quot;00D22908&quot;/&gt;&lt;wsp:rsid wsp:val=&quot;00D24EB7&quot;/&gt;&lt;wsp:rsid wsp:val=&quot;00D406AC&quot;/&gt;&lt;wsp:rsid wsp:val=&quot;00D47DDB&quot;/&gt;&lt;wsp:rsid wsp:val=&quot;00D505D0&quot;/&gt;&lt;wsp:rsid wsp:val=&quot;00D53B15&quot;/&gt;&lt;wsp:rsid wsp:val=&quot;00D56191&quot;/&gt;&lt;wsp:rsid wsp:val=&quot;00D61839&quot;/&gt;&lt;wsp:rsid wsp:val=&quot;00D624AC&quot;/&gt;&lt;wsp:rsid wsp:val=&quot;00D6550D&quot;/&gt;&lt;wsp:rsid wsp:val=&quot;00D6747A&quot;/&gt;&lt;wsp:rsid wsp:val=&quot;00D8280A&quot;/&gt;&lt;wsp:rsid wsp:val=&quot;00D91913&quot;/&gt;&lt;wsp:rsid wsp:val=&quot;00D94246&quot;/&gt;&lt;wsp:rsid wsp:val=&quot;00D952B0&quot;/&gt;&lt;wsp:rsid wsp:val=&quot;00DA0A25&quot;/&gt;&lt;wsp:rsid wsp:val=&quot;00DB08CF&quot;/&gt;&lt;wsp:rsid wsp:val=&quot;00DB2C9F&quot;/&gt;&lt;wsp:rsid wsp:val=&quot;00DB38F2&quot;/&gt;&lt;wsp:rsid wsp:val=&quot;00DC2E96&quot;/&gt;&lt;wsp:rsid wsp:val=&quot;00DC4CA5&quot;/&gt;&lt;wsp:rsid wsp:val=&quot;00DC77C3&quot;/&gt;&lt;wsp:rsid wsp:val=&quot;00DC77F9&quot;/&gt;&lt;wsp:rsid wsp:val=&quot;00DD5617&quot;/&gt;&lt;wsp:rsid wsp:val=&quot;00DD58EF&quot;/&gt;&lt;wsp:rsid wsp:val=&quot;00DE06AA&quot;/&gt;&lt;wsp:rsid wsp:val=&quot;00DF17FD&quot;/&gt;&lt;wsp:rsid wsp:val=&quot;00DF1E35&quot;/&gt;&lt;wsp:rsid wsp:val=&quot;00DF547D&quot;/&gt;&lt;wsp:rsid wsp:val=&quot;00DF6B85&quot;/&gt;&lt;wsp:rsid wsp:val=&quot;00E005AF&quot;/&gt;&lt;wsp:rsid wsp:val=&quot;00E12732&quot;/&gt;&lt;wsp:rsid wsp:val=&quot;00E12AFC&quot;/&gt;&lt;wsp:rsid wsp:val=&quot;00E15D14&quot;/&gt;&lt;wsp:rsid wsp:val=&quot;00E24178&quot;/&gt;&lt;wsp:rsid wsp:val=&quot;00E27380&quot;/&gt;&lt;wsp:rsid wsp:val=&quot;00E27657&quot;/&gt;&lt;wsp:rsid wsp:val=&quot;00E33953&quot;/&gt;&lt;wsp:rsid wsp:val=&quot;00E3533B&quot;/&gt;&lt;wsp:rsid wsp:val=&quot;00E46D50&quot;/&gt;&lt;wsp:rsid wsp:val=&quot;00E47094&quot;/&gt;&lt;wsp:rsid wsp:val=&quot;00E47382&quot;/&gt;&lt;wsp:rsid wsp:val=&quot;00E47ED5&quot;/&gt;&lt;wsp:rsid wsp:val=&quot;00E56DDD&quot;/&gt;&lt;wsp:rsid wsp:val=&quot;00E7183A&quot;/&gt;&lt;wsp:rsid wsp:val=&quot;00E72873&quot;/&gt;&lt;wsp:rsid wsp:val=&quot;00E73D7D&quot;/&gt;&lt;wsp:rsid wsp:val=&quot;00E777BC&quot;/&gt;&lt;wsp:rsid wsp:val=&quot;00E77B63&quot;/&gt;&lt;wsp:rsid wsp:val=&quot;00E808BD&quot;/&gt;&lt;wsp:rsid wsp:val=&quot;00E82E24&quot;/&gt;&lt;wsp:rsid wsp:val=&quot;00E82E48&quot;/&gt;&lt;wsp:rsid wsp:val=&quot;00E85779&quot;/&gt;&lt;wsp:rsid wsp:val=&quot;00EA69C6&quot;/&gt;&lt;wsp:rsid wsp:val=&quot;00EB196D&quot;/&gt;&lt;wsp:rsid wsp:val=&quot;00EB2399&quot;/&gt;&lt;wsp:rsid wsp:val=&quot;00EC398C&quot;/&gt;&lt;wsp:rsid wsp:val=&quot;00ED3A21&quot;/&gt;&lt;wsp:rsid wsp:val=&quot;00ED44E9&quot;/&gt;&lt;wsp:rsid wsp:val=&quot;00EE56A8&quot;/&gt;&lt;wsp:rsid wsp:val=&quot;00EF19A7&quot;/&gt;&lt;wsp:rsid wsp:val=&quot;00EF3CCB&quot;/&gt;&lt;wsp:rsid wsp:val=&quot;00EF7189&quot;/&gt;&lt;wsp:rsid wsp:val=&quot;00F00B94&quot;/&gt;&lt;wsp:rsid wsp:val=&quot;00F02F23&quot;/&gt;&lt;wsp:rsid wsp:val=&quot;00F03050&quot;/&gt;&lt;wsp:rsid wsp:val=&quot;00F06B6B&quot;/&gt;&lt;wsp:rsid wsp:val=&quot;00F21B22&quot;/&gt;&lt;wsp:rsid wsp:val=&quot;00F23BE8&quot;/&gt;&lt;wsp:rsid wsp:val=&quot;00F272CE&quot;/&gt;&lt;wsp:rsid wsp:val=&quot;00F3058C&quot;/&gt;&lt;wsp:rsid wsp:val=&quot;00F3197F&quot;/&gt;&lt;wsp:rsid wsp:val=&quot;00F455D6&quot;/&gt;&lt;wsp:rsid wsp:val=&quot;00F45F97&quot;/&gt;&lt;wsp:rsid wsp:val=&quot;00F46E96&quot;/&gt;&lt;wsp:rsid wsp:val=&quot;00F5179E&quot;/&gt;&lt;wsp:rsid wsp:val=&quot;00F60827&quot;/&gt;&lt;wsp:rsid wsp:val=&quot;00F60C91&quot;/&gt;&lt;wsp:rsid wsp:val=&quot;00F6107E&quot;/&gt;&lt;wsp:rsid wsp:val=&quot;00F71B52&quot;/&gt;&lt;wsp:rsid wsp:val=&quot;00F762F1&quot;/&gt;&lt;wsp:rsid wsp:val=&quot;00F846EE&quot;/&gt;&lt;wsp:rsid wsp:val=&quot;00F86FC1&quot;/&gt;&lt;wsp:rsid wsp:val=&quot;00F874A6&quot;/&gt;&lt;wsp:rsid wsp:val=&quot;00F91FE0&quot;/&gt;&lt;wsp:rsid wsp:val=&quot;00F92673&quot;/&gt;&lt;wsp:rsid wsp:val=&quot;00F9286A&quot;/&gt;&lt;wsp:rsid wsp:val=&quot;00F93C48&quot;/&gt;&lt;wsp:rsid wsp:val=&quot;00F94D29&quot;/&gt;&lt;wsp:rsid wsp:val=&quot;00F966EF&quot;/&gt;&lt;wsp:rsid wsp:val=&quot;00FC4369&quot;/&gt;&lt;wsp:rsid wsp:val=&quot;00FC582E&quot;/&gt;&lt;wsp:rsid wsp:val=&quot;00FD3B36&quot;/&gt;&lt;wsp:rsid wsp:val=&quot;00FD4C77&quot;/&gt;&lt;wsp:rsid wsp:val=&quot;00FD75C8&quot;/&gt;&lt;wsp:rsid wsp:val=&quot;00FE048E&quot;/&gt;&lt;wsp:rsid wsp:val=&quot;00FF061F&quot;/&gt;&lt;wsp:rsid wsp:val=&quot;00FF4AB1&quot;/&gt;&lt;/wsp:rsids&gt;&lt;/w:docPr&gt;&lt;w:body&gt;&lt;w:p wsp:rsidR=&quot;00000000&quot; wsp:rsidRDefault=&quot;001F3487&quot;&gt;&lt;m:oMathPara&gt;&lt;m:oMath&gt;&lt;m:r&gt;&lt;m:rPr&gt;&lt;m:sty m:val=&quot;p&quot;/&gt;&lt;/m:rPr&gt;&lt;w:rPr&gt;&lt;w:rFonts w:ascii=&quot;Cambria Math&quot; w:h-ansi=&quot;Cambria Math&quot;/&gt;&lt;wx:font wx:val=&quot;Cambria Math&quot;/&gt;&lt;/w:rPr&gt;&lt;m:t&gt;R=&lt;/m:t&gt;&lt;/m:r&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 w:cs=&quot;Cambria Math&quot;/&gt;&lt;wx:font wx:val=&quot;Cambria Math&quot;/&gt;&lt;/w:rPr&gt;&lt;m:t&gt;A&lt;/m:t&gt;&lt;/m:r&gt;&lt;/m:num&gt;&lt;m:den&gt;&lt;m:d&gt;&lt;m:dPr&gt;&lt;m:ctrlPr&gt;&lt;w:rPr&gt;&lt;w:rFonts w:ascii=&quot;Cambria Math&quot; w:h-ansi=&quot;Cambria Math&quot; w:cs=&quot;Cambria Math&quot;/&gt;&lt;wx:font wx:val=&quot;Cambria Math&quot;/&gt;&lt;/w:rPr&gt;&lt;/m:ctrlPr&gt;&lt;/m:dPr&gt;&lt;m:e&gt;&lt;m:r&gt;&lt;m:rPr&gt;&lt;m:sty m:val=&quot;p&quot;/&gt;&lt;/m:rPr&gt;&lt;w:rPr&gt;&lt;w:rFonts w:ascii=&quot;Cambria Math&quot; w:h-ansi=&quot;Cambria Math&quot; w:cs=&quot;Cambria Math&quot;/&gt;&lt;wx:font wx:val=&quot;Cambria Math&quot;/&gt;&lt;/w:rPr&gt;&lt;m:t&gt;F2-F1&lt;/m:t&gt;&lt;/m:r&gt;&lt;/m:e&gt;&lt;/m:d&gt;&lt;m:r&gt;&lt;m:rPr&gt;&lt;m:sty m:val=&quot;p&quot;/&gt;&lt;/m:rPr&gt;&lt;w:rPr&gt;&lt;w:rFonts w:ascii=&quot;Cambria Math&quot; w:h-ansi=&quot;Cambria Math&quot; w:cs=&quot;Cambria Math&quot;/&gt;&lt;wx:font wx:val=&quot;Cambria Math&quot;/&gt;&lt;/w:rPr&gt;&lt;m:t&gt;S&lt;/m:t&gt;&lt;/m:r&gt;&lt;/m:den&gt;&lt;/m:f&gt;&lt;m:r&gt;&lt;m:rPr&gt;&lt;m:sty m:val=&quot;p&quot;/&gt;&lt;/m:rPr&gt;&lt;w:rPr&gt;&lt;w:rFonts w:ascii=&quot;Cambria Math&quot; w:h-ansi=&quot;Cambria Math&quot;/&gt;&lt;wx:font wx:val=&quot;Cambria Math&quot;/&gt;&lt;/w:rPr&gt;&lt;m:t&gt;(C-F1S)&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path/>
            <v:fill on="f" focussize="0,0"/>
            <v:stroke on="f"/>
            <v:imagedata r:id="rId4" chromakey="#FFFFFF" o:title=""/>
            <o:lock v:ext="edit" aspectratio="t"/>
            <w10:wrap type="none"/>
            <w10:anchorlock/>
          </v:shape>
        </w:pict>
      </w:r>
      <w:r>
        <w:instrText xml:space="preserve"> </w:instrText>
      </w:r>
      <w:r>
        <w:fldChar w:fldCharType="separate"/>
      </w:r>
      <w:r>
        <w:rPr>
          <w:rFonts w:hint="eastAsia"/>
          <w:position w:val="-24"/>
        </w:rPr>
        <w:pict>
          <v:shape id="_x0000_i1026" o:spt="75" type="#_x0000_t75" style="height:31.5pt;width:99pt;" filled="f" stroked="f" coordsize="21600,21600" equationxml="&lt;?xml version=&quot;1.0&quot; encoding=&quot;UTF-8&quot; standalone=&quot;yes&quot;?&gt;&#13;&#10;&lt;?mso-application progid=&quot;Word.Document&quot;?&gt;&#13;&#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text-fit&quot; w:percent=&quot;188&quot;/&gt;&lt;w:doNotEmbedSystemFonts/&gt;&lt;w:bordersDontSurroundHeader/&gt;&lt;w:bordersDontSurroundFooter/&gt;&lt;w:hideSpellingErrors/&gt;&lt;w:stylePaneFormatFilter w:val=&quot;3F01&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D57EE&quot;/&gt;&lt;wsp:rsid wsp:val=&quot;000143FB&quot;/&gt;&lt;wsp:rsid wsp:val=&quot;00014C8B&quot;/&gt;&lt;wsp:rsid wsp:val=&quot;00020790&quot;/&gt;&lt;wsp:rsid wsp:val=&quot;000244D7&quot;/&gt;&lt;wsp:rsid wsp:val=&quot;0002697F&quot;/&gt;&lt;wsp:rsid wsp:val=&quot;00027877&quot;/&gt;&lt;wsp:rsid wsp:val=&quot;00030315&quot;/&gt;&lt;wsp:rsid wsp:val=&quot;00032EC3&quot;/&gt;&lt;wsp:rsid wsp:val=&quot;00035706&quot;/&gt;&lt;wsp:rsid wsp:val=&quot;00036F0D&quot;/&gt;&lt;wsp:rsid wsp:val=&quot;00040951&quot;/&gt;&lt;wsp:rsid wsp:val=&quot;000513EE&quot;/&gt;&lt;wsp:rsid wsp:val=&quot;000579AC&quot;/&gt;&lt;wsp:rsid wsp:val=&quot;000604A6&quot;/&gt;&lt;wsp:rsid wsp:val=&quot;00060A62&quot;/&gt;&lt;wsp:rsid wsp:val=&quot;0006472F&quot;/&gt;&lt;wsp:rsid wsp:val=&quot;00064B5A&quot;/&gt;&lt;wsp:rsid wsp:val=&quot;000673D8&quot;/&gt;&lt;wsp:rsid wsp:val=&quot;00070B9C&quot;/&gt;&lt;wsp:rsid wsp:val=&quot;000729B4&quot;/&gt;&lt;wsp:rsid wsp:val=&quot;00073EC7&quot;/&gt;&lt;wsp:rsid wsp:val=&quot;000753F2&quot;/&gt;&lt;wsp:rsid wsp:val=&quot;000839C3&quot;/&gt;&lt;wsp:rsid wsp:val=&quot;00090E83&quot;/&gt;&lt;wsp:rsid wsp:val=&quot;0009326D&quot;/&gt;&lt;wsp:rsid wsp:val=&quot;00096FEA&quot;/&gt;&lt;wsp:rsid wsp:val=&quot;000A18B0&quot;/&gt;&lt;wsp:rsid wsp:val=&quot;000A6F4F&quot;/&gt;&lt;wsp:rsid wsp:val=&quot;000B2878&quot;/&gt;&lt;wsp:rsid wsp:val=&quot;000B676F&quot;/&gt;&lt;wsp:rsid wsp:val=&quot;000C0351&quot;/&gt;&lt;wsp:rsid wsp:val=&quot;000C1C90&quot;/&gt;&lt;wsp:rsid wsp:val=&quot;000C7193&quot;/&gt;&lt;wsp:rsid wsp:val=&quot;000D155F&quot;/&gt;&lt;wsp:rsid wsp:val=&quot;000D1D74&quot;/&gt;&lt;wsp:rsid wsp:val=&quot;000D57EE&quot;/&gt;&lt;wsp:rsid wsp:val=&quot;000D60ED&quot;/&gt;&lt;wsp:rsid wsp:val=&quot;000E1EEE&quot;/&gt;&lt;wsp:rsid wsp:val=&quot;000E5FB4&quot;/&gt;&lt;wsp:rsid wsp:val=&quot;000F030A&quot;/&gt;&lt;wsp:rsid wsp:val=&quot;000F1980&quot;/&gt;&lt;wsp:rsid wsp:val=&quot;000F6FAE&quot;/&gt;&lt;wsp:rsid wsp:val=&quot;00101332&quot;/&gt;&lt;wsp:rsid wsp:val=&quot;0010179B&quot;/&gt;&lt;wsp:rsid wsp:val=&quot;00110F48&quot;/&gt;&lt;wsp:rsid wsp:val=&quot;001119A3&quot;/&gt;&lt;wsp:rsid wsp:val=&quot;00115B0B&quot;/&gt;&lt;wsp:rsid wsp:val=&quot;00134CD7&quot;/&gt;&lt;wsp:rsid wsp:val=&quot;001354CA&quot;/&gt;&lt;wsp:rsid wsp:val=&quot;001423FD&quot;/&gt;&lt;wsp:rsid wsp:val=&quot;00142E3D&quot;/&gt;&lt;wsp:rsid wsp:val=&quot;001436D0&quot;/&gt;&lt;wsp:rsid wsp:val=&quot;00147AA1&quot;/&gt;&lt;wsp:rsid wsp:val=&quot;001524B1&quot;/&gt;&lt;wsp:rsid wsp:val=&quot;00154C76&quot;/&gt;&lt;wsp:rsid wsp:val=&quot;00163AC7&quot;/&gt;&lt;wsp:rsid wsp:val=&quot;00167705&quot;/&gt;&lt;wsp:rsid wsp:val=&quot;00167E6C&quot;/&gt;&lt;wsp:rsid wsp:val=&quot;001701B3&quot;/&gt;&lt;wsp:rsid wsp:val=&quot;00173117&quot;/&gt;&lt;wsp:rsid wsp:val=&quot;0017357C&quot;/&gt;&lt;wsp:rsid wsp:val=&quot;00175FC2&quot;/&gt;&lt;wsp:rsid wsp:val=&quot;0018685E&quot;/&gt;&lt;wsp:rsid wsp:val=&quot;00187473&quot;/&gt;&lt;wsp:rsid wsp:val=&quot;0019016A&quot;/&gt;&lt;wsp:rsid wsp:val=&quot;00190AED&quot;/&gt;&lt;wsp:rsid wsp:val=&quot;00192BBD&quot;/&gt;&lt;wsp:rsid wsp:val=&quot;00195538&quot;/&gt;&lt;wsp:rsid wsp:val=&quot;001B17B3&quot;/&gt;&lt;wsp:rsid wsp:val=&quot;001B191F&quot;/&gt;&lt;wsp:rsid wsp:val=&quot;001B39B3&quot;/&gt;&lt;wsp:rsid wsp:val=&quot;001B3D2A&quot;/&gt;&lt;wsp:rsid wsp:val=&quot;001D0C69&quot;/&gt;&lt;wsp:rsid wsp:val=&quot;001D14C2&quot;/&gt;&lt;wsp:rsid wsp:val=&quot;001E18DE&quot;/&gt;&lt;wsp:rsid wsp:val=&quot;001F02F3&quot;/&gt;&lt;wsp:rsid wsp:val=&quot;001F3487&quot;/&gt;&lt;wsp:rsid wsp:val=&quot;0020261D&quot;/&gt;&lt;wsp:rsid wsp:val=&quot;00206894&quot;/&gt;&lt;wsp:rsid wsp:val=&quot;00216FAF&quot;/&gt;&lt;wsp:rsid wsp:val=&quot;00217683&quot;/&gt;&lt;wsp:rsid wsp:val=&quot;00217694&quot;/&gt;&lt;wsp:rsid wsp:val=&quot;00217A9B&quot;/&gt;&lt;wsp:rsid wsp:val=&quot;00221835&quot;/&gt;&lt;wsp:rsid wsp:val=&quot;0022566D&quot;/&gt;&lt;wsp:rsid wsp:val=&quot;00227CC3&quot;/&gt;&lt;wsp:rsid wsp:val=&quot;00231C4B&quot;/&gt;&lt;wsp:rsid wsp:val=&quot;00237EBE&quot;/&gt;&lt;wsp:rsid wsp:val=&quot;002435AC&quot;/&gt;&lt;wsp:rsid wsp:val=&quot;00243F71&quot;/&gt;&lt;wsp:rsid wsp:val=&quot;00253142&quot;/&gt;&lt;wsp:rsid wsp:val=&quot;0026293E&quot;/&gt;&lt;wsp:rsid wsp:val=&quot;00263EC0&quot;/&gt;&lt;wsp:rsid wsp:val=&quot;00273896&quot;/&gt;&lt;wsp:rsid wsp:val=&quot;00273E53&quot;/&gt;&lt;wsp:rsid wsp:val=&quot;002A4944&quot;/&gt;&lt;wsp:rsid wsp:val=&quot;002A578C&quot;/&gt;&lt;wsp:rsid wsp:val=&quot;002A6999&quot;/&gt;&lt;wsp:rsid wsp:val=&quot;002B0B93&quot;/&gt;&lt;wsp:rsid wsp:val=&quot;002B2402&quot;/&gt;&lt;wsp:rsid wsp:val=&quot;002B4203&quot;/&gt;&lt;wsp:rsid wsp:val=&quot;002B4B6C&quot;/&gt;&lt;wsp:rsid wsp:val=&quot;002C70A0&quot;/&gt;&lt;wsp:rsid wsp:val=&quot;002C712F&quot;/&gt;&lt;wsp:rsid wsp:val=&quot;002D3F5E&quot;/&gt;&lt;wsp:rsid wsp:val=&quot;002D66FE&quot;/&gt;&lt;wsp:rsid wsp:val=&quot;002D6DCF&quot;/&gt;&lt;wsp:rsid wsp:val=&quot;002E271D&quot;/&gt;&lt;wsp:rsid wsp:val=&quot;002F238B&quot;/&gt;&lt;wsp:rsid wsp:val=&quot;002F28A4&quot;/&gt;&lt;wsp:rsid wsp:val=&quot;002F472B&quot;/&gt;&lt;wsp:rsid wsp:val=&quot;002F5ABE&quot;/&gt;&lt;wsp:rsid wsp:val=&quot;00303120&quot;/&gt;&lt;wsp:rsid wsp:val=&quot;003034FB&quot;/&gt;&lt;wsp:rsid wsp:val=&quot;00311A79&quot;/&gt;&lt;wsp:rsid wsp:val=&quot;00311AC1&quot;/&gt;&lt;wsp:rsid wsp:val=&quot;00312F2D&quot;/&gt;&lt;wsp:rsid wsp:val=&quot;0032386C&quot;/&gt;&lt;wsp:rsid wsp:val=&quot;0032640A&quot;/&gt;&lt;wsp:rsid wsp:val=&quot;00330C8A&quot;/&gt;&lt;wsp:rsid wsp:val=&quot;00330E37&quot;/&gt;&lt;wsp:rsid wsp:val=&quot;00334111&quot;/&gt;&lt;wsp:rsid wsp:val=&quot;0033443D&quot;/&gt;&lt;wsp:rsid wsp:val=&quot;003452A6&quot;/&gt;&lt;wsp:rsid wsp:val=&quot;003557A3&quot;/&gt;&lt;wsp:rsid wsp:val=&quot;00370533&quot;/&gt;&lt;wsp:rsid wsp:val=&quot;00374479&quot;/&gt;&lt;wsp:rsid wsp:val=&quot;00384E0D&quot;/&gt;&lt;wsp:rsid wsp:val=&quot;003873C7&quot;/&gt;&lt;wsp:rsid wsp:val=&quot;00390909&quot;/&gt;&lt;wsp:rsid wsp:val=&quot;00392823&quot;/&gt;&lt;wsp:rsid wsp:val=&quot;00392D7C&quot;/&gt;&lt;wsp:rsid wsp:val=&quot;00395E0D&quot;/&gt;&lt;wsp:rsid wsp:val=&quot;003A0B1A&quot;/&gt;&lt;wsp:rsid wsp:val=&quot;003A296A&quot;/&gt;&lt;wsp:rsid wsp:val=&quot;003A5DD9&quot;/&gt;&lt;wsp:rsid wsp:val=&quot;003A6803&quot;/&gt;&lt;wsp:rsid wsp:val=&quot;003B4DF6&quot;/&gt;&lt;wsp:rsid wsp:val=&quot;003C0686&quot;/&gt;&lt;wsp:rsid wsp:val=&quot;003C19E1&quot;/&gt;&lt;wsp:rsid wsp:val=&quot;003C1B0E&quot;/&gt;&lt;wsp:rsid wsp:val=&quot;003C3490&quot;/&gt;&lt;wsp:rsid wsp:val=&quot;003C4775&quot;/&gt;&lt;wsp:rsid wsp:val=&quot;003C4A16&quot;/&gt;&lt;wsp:rsid wsp:val=&quot;003D4F30&quot;/&gt;&lt;wsp:rsid wsp:val=&quot;003E782D&quot;/&gt;&lt;wsp:rsid wsp:val=&quot;003F115A&quot;/&gt;&lt;wsp:rsid wsp:val=&quot;003F38C1&quot;/&gt;&lt;wsp:rsid wsp:val=&quot;003F6052&quot;/&gt;&lt;wsp:rsid wsp:val=&quot;004007DB&quot;/&gt;&lt;wsp:rsid wsp:val=&quot;004042F9&quot;/&gt;&lt;wsp:rsid wsp:val=&quot;0040519B&quot;/&gt;&lt;wsp:rsid wsp:val=&quot;00407207&quot;/&gt;&lt;wsp:rsid wsp:val=&quot;004121CA&quot;/&gt;&lt;wsp:rsid wsp:val=&quot;004148C4&quot;/&gt;&lt;wsp:rsid wsp:val=&quot;00415416&quot;/&gt;&lt;wsp:rsid wsp:val=&quot;0041587E&quot;/&gt;&lt;wsp:rsid wsp:val=&quot;00415F6E&quot;/&gt;&lt;wsp:rsid wsp:val=&quot;0042357F&quot;/&gt;&lt;wsp:rsid wsp:val=&quot;00426AA5&quot;/&gt;&lt;wsp:rsid wsp:val=&quot;00432084&quot;/&gt;&lt;wsp:rsid wsp:val=&quot;004326A1&quot;/&gt;&lt;wsp:rsid wsp:val=&quot;00440A75&quot;/&gt;&lt;wsp:rsid wsp:val=&quot;0044506E&quot;/&gt;&lt;wsp:rsid wsp:val=&quot;00445CD5&quot;/&gt;&lt;wsp:rsid wsp:val=&quot;00451DB4&quot;/&gt;&lt;wsp:rsid wsp:val=&quot;00457601&quot;/&gt;&lt;wsp:rsid wsp:val=&quot;004660D1&quot;/&gt;&lt;wsp:rsid wsp:val=&quot;00471E99&quot;/&gt;&lt;wsp:rsid wsp:val=&quot;00471F74&quot;/&gt;&lt;wsp:rsid wsp:val=&quot;004724CF&quot;/&gt;&lt;wsp:rsid wsp:val=&quot;0048051F&quot;/&gt;&lt;wsp:rsid wsp:val=&quot;004821B3&quot;/&gt;&lt;wsp:rsid wsp:val=&quot;0048239C&quot;/&gt;&lt;wsp:rsid wsp:val=&quot;00487E37&quot;/&gt;&lt;wsp:rsid wsp:val=&quot;0049107A&quot;/&gt;&lt;wsp:rsid wsp:val=&quot;00494967&quot;/&gt;&lt;wsp:rsid wsp:val=&quot;00494995&quot;/&gt;&lt;wsp:rsid wsp:val=&quot;00494DB4&quot;/&gt;&lt;wsp:rsid wsp:val=&quot;004B3B62&quot;/&gt;&lt;wsp:rsid wsp:val=&quot;004B4343&quot;/&gt;&lt;wsp:rsid wsp:val=&quot;004B4B48&quot;/&gt;&lt;wsp:rsid wsp:val=&quot;004C6D8A&quot;/&gt;&lt;wsp:rsid wsp:val=&quot;004C7030&quot;/&gt;&lt;wsp:rsid wsp:val=&quot;004D0958&quot;/&gt;&lt;wsp:rsid wsp:val=&quot;004D55BA&quot;/&gt;&lt;wsp:rsid wsp:val=&quot;004D6A41&quot;/&gt;&lt;wsp:rsid wsp:val=&quot;004E1976&quot;/&gt;&lt;wsp:rsid wsp:val=&quot;004E50AF&quot;/&gt;&lt;wsp:rsid wsp:val=&quot;004E563B&quot;/&gt;&lt;wsp:rsid wsp:val=&quot;004E5DA9&quot;/&gt;&lt;wsp:rsid wsp:val=&quot;004E683F&quot;/&gt;&lt;wsp:rsid wsp:val=&quot;0051218F&quot;/&gt;&lt;wsp:rsid wsp:val=&quot;005147D7&quot;/&gt;&lt;wsp:rsid wsp:val=&quot;00517576&quot;/&gt;&lt;wsp:rsid wsp:val=&quot;00523C67&quot;/&gt;&lt;wsp:rsid wsp:val=&quot;0052596B&quot;/&gt;&lt;wsp:rsid wsp:val=&quot;00533B9E&quot;/&gt;&lt;wsp:rsid wsp:val=&quot;00533C02&quot;/&gt;&lt;wsp:rsid wsp:val=&quot;005474B3&quot;/&gt;&lt;wsp:rsid wsp:val=&quot;005478B1&quot;/&gt;&lt;wsp:rsid wsp:val=&quot;005508B0&quot;/&gt;&lt;wsp:rsid wsp:val=&quot;005539AE&quot;/&gt;&lt;wsp:rsid wsp:val=&quot;00553D73&quot;/&gt;&lt;wsp:rsid wsp:val=&quot;00554412&quot;/&gt;&lt;wsp:rsid wsp:val=&quot;00560211&quot;/&gt;&lt;wsp:rsid wsp:val=&quot;005648D2&quot;/&gt;&lt;wsp:rsid wsp:val=&quot;00564DE5&quot;/&gt;&lt;wsp:rsid wsp:val=&quot;00571235&quot;/&gt;&lt;wsp:rsid wsp:val=&quot;0057200B&quot;/&gt;&lt;wsp:rsid wsp:val=&quot;00573CD3&quot;/&gt;&lt;wsp:rsid wsp:val=&quot;00573DF0&quot;/&gt;&lt;wsp:rsid wsp:val=&quot;00574069&quot;/&gt;&lt;wsp:rsid wsp:val=&quot;00582600&quot;/&gt;&lt;wsp:rsid wsp:val=&quot;00583781&quot;/&gt;&lt;wsp:rsid wsp:val=&quot;005928F9&quot;/&gt;&lt;wsp:rsid wsp:val=&quot;00595B8E&quot;/&gt;&lt;wsp:rsid wsp:val=&quot;00597BC5&quot;/&gt;&lt;wsp:rsid wsp:val=&quot;005A07A2&quot;/&gt;&lt;wsp:rsid wsp:val=&quot;005A2134&quot;/&gt;&lt;wsp:rsid wsp:val=&quot;005A2198&quot;/&gt;&lt;wsp:rsid wsp:val=&quot;005B20E3&quot;/&gt;&lt;wsp:rsid wsp:val=&quot;005C219B&quot;/&gt;&lt;wsp:rsid wsp:val=&quot;005C21AA&quot;/&gt;&lt;wsp:rsid wsp:val=&quot;005C30CF&quot;/&gt;&lt;wsp:rsid wsp:val=&quot;005C3112&quot;/&gt;&lt;wsp:rsid wsp:val=&quot;005C6011&quot;/&gt;&lt;wsp:rsid wsp:val=&quot;005D06F9&quot;/&gt;&lt;wsp:rsid wsp:val=&quot;005D0AD3&quot;/&gt;&lt;wsp:rsid wsp:val=&quot;005D18D9&quot;/&gt;&lt;wsp:rsid wsp:val=&quot;005D2263&quot;/&gt;&lt;wsp:rsid wsp:val=&quot;005D2CBB&quot;/&gt;&lt;wsp:rsid wsp:val=&quot;005D4A57&quot;/&gt;&lt;wsp:rsid wsp:val=&quot;005E231D&quot;/&gt;&lt;wsp:rsid wsp:val=&quot;005E439B&quot;/&gt;&lt;wsp:rsid wsp:val=&quot;005E463B&quot;/&gt;&lt;wsp:rsid wsp:val=&quot;005E6123&quot;/&gt;&lt;wsp:rsid wsp:val=&quot;005F628F&quot;/&gt;&lt;wsp:rsid wsp:val=&quot;00601C1C&quot;/&gt;&lt;wsp:rsid wsp:val=&quot;0060221F&quot;/&gt;&lt;wsp:rsid wsp:val=&quot;00602DD8&quot;/&gt;&lt;wsp:rsid wsp:val=&quot;00603B24&quot;/&gt;&lt;wsp:rsid wsp:val=&quot;00604DCD&quot;/&gt;&lt;wsp:rsid wsp:val=&quot;00605815&quot;/&gt;&lt;wsp:rsid wsp:val=&quot;00607BEB&quot;/&gt;&lt;wsp:rsid wsp:val=&quot;00623E84&quot;/&gt;&lt;wsp:rsid wsp:val=&quot;00632614&quot;/&gt;&lt;wsp:rsid wsp:val=&quot;00633E0C&quot;/&gt;&lt;wsp:rsid wsp:val=&quot;006406CF&quot;/&gt;&lt;wsp:rsid wsp:val=&quot;00642B61&quot;/&gt;&lt;wsp:rsid wsp:val=&quot;00651FDE&quot;/&gt;&lt;wsp:rsid wsp:val=&quot;006530AB&quot;/&gt;&lt;wsp:rsid wsp:val=&quot;00663D4A&quot;/&gt;&lt;wsp:rsid wsp:val=&quot;00670AE2&quot;/&gt;&lt;wsp:rsid wsp:val=&quot;006726AE&quot;/&gt;&lt;wsp:rsid wsp:val=&quot;0067433C&quot;/&gt;&lt;wsp:rsid wsp:val=&quot;00685518&quot;/&gt;&lt;wsp:rsid wsp:val=&quot;00690C8C&quot;/&gt;&lt;wsp:rsid wsp:val=&quot;006B4255&quot;/&gt;&lt;wsp:rsid wsp:val=&quot;006B622F&quot;/&gt;&lt;wsp:rsid wsp:val=&quot;006D4B9D&quot;/&gt;&lt;wsp:rsid wsp:val=&quot;006E1017&quot;/&gt;&lt;wsp:rsid wsp:val=&quot;006F218F&quot;/&gt;&lt;wsp:rsid wsp:val=&quot;006F797F&quot;/&gt;&lt;wsp:rsid wsp:val=&quot;00704A4C&quot;/&gt;&lt;wsp:rsid wsp:val=&quot;00706B09&quot;/&gt;&lt;wsp:rsid wsp:val=&quot;00710241&quot;/&gt;&lt;wsp:rsid wsp:val=&quot;00710416&quot;/&gt;&lt;wsp:rsid wsp:val=&quot;007115F9&quot;/&gt;&lt;wsp:rsid wsp:val=&quot;00715B58&quot;/&gt;&lt;wsp:rsid wsp:val=&quot;007179F3&quot;/&gt;&lt;wsp:rsid wsp:val=&quot;007239BD&quot;/&gt;&lt;wsp:rsid wsp:val=&quot;00724982&quot;/&gt;&lt;wsp:rsid wsp:val=&quot;00742197&quot;/&gt;&lt;wsp:rsid wsp:val=&quot;00743A22&quot;/&gt;&lt;wsp:rsid wsp:val=&quot;0075222B&quot;/&gt;&lt;wsp:rsid wsp:val=&quot;0075414C&quot;/&gt;&lt;wsp:rsid wsp:val=&quot;0076388B&quot;/&gt;&lt;wsp:rsid wsp:val=&quot;00766FE7&quot;/&gt;&lt;wsp:rsid wsp:val=&quot;00775FFB&quot;/&gt;&lt;wsp:rsid wsp:val=&quot;0078704B&quot;/&gt;&lt;wsp:rsid wsp:val=&quot;0079167C&quot;/&gt;&lt;wsp:rsid wsp:val=&quot;00794214&quot;/&gt;&lt;wsp:rsid wsp:val=&quot;007B40D5&quot;/&gt;&lt;wsp:rsid wsp:val=&quot;007C0311&quot;/&gt;&lt;wsp:rsid wsp:val=&quot;007D0F15&quot;/&gt;&lt;wsp:rsid wsp:val=&quot;007D7AFF&quot;/&gt;&lt;wsp:rsid wsp:val=&quot;007E411B&quot;/&gt;&lt;wsp:rsid wsp:val=&quot;007E7561&quot;/&gt;&lt;wsp:rsid wsp:val=&quot;007F4178&quot;/&gt;&lt;wsp:rsid wsp:val=&quot;007F554F&quot;/&gt;&lt;wsp:rsid wsp:val=&quot;007F74E4&quot;/&gt;&lt;wsp:rsid wsp:val=&quot;007F76E0&quot;/&gt;&lt;wsp:rsid wsp:val=&quot;008031FE&quot;/&gt;&lt;wsp:rsid wsp:val=&quot;008042E6&quot;/&gt;&lt;wsp:rsid wsp:val=&quot;008068EF&quot;/&gt;&lt;wsp:rsid wsp:val=&quot;00812CB4&quot;/&gt;&lt;wsp:rsid wsp:val=&quot;00815B7F&quot;/&gt;&lt;wsp:rsid wsp:val=&quot;00823629&quot;/&gt;&lt;wsp:rsid wsp:val=&quot;008246B0&quot;/&gt;&lt;wsp:rsid wsp:val=&quot;00830820&quot;/&gt;&lt;wsp:rsid wsp:val=&quot;0083315B&quot;/&gt;&lt;wsp:rsid wsp:val=&quot;008340BD&quot;/&gt;&lt;wsp:rsid wsp:val=&quot;008558F7&quot;/&gt;&lt;wsp:rsid wsp:val=&quot;00863458&quot;/&gt;&lt;wsp:rsid wsp:val=&quot;008824B5&quot;/&gt;&lt;wsp:rsid wsp:val=&quot;00884E58&quot;/&gt;&lt;wsp:rsid wsp:val=&quot;0089331E&quot;/&gt;&lt;wsp:rsid wsp:val=&quot;00896FAC&quot;/&gt;&lt;wsp:rsid wsp:val=&quot;008A35D8&quot;/&gt;&lt;wsp:rsid wsp:val=&quot;008C1153&quot;/&gt;&lt;wsp:rsid wsp:val=&quot;008C5D4A&quot;/&gt;&lt;wsp:rsid wsp:val=&quot;008C6580&quot;/&gt;&lt;wsp:rsid wsp:val=&quot;008D3544&quot;/&gt;&lt;wsp:rsid wsp:val=&quot;008E1719&quot;/&gt;&lt;wsp:rsid wsp:val=&quot;008E2A7F&quot;/&gt;&lt;wsp:rsid wsp:val=&quot;008F4FF2&quot;/&gt;&lt;wsp:rsid wsp:val=&quot;008F55E2&quot;/&gt;&lt;wsp:rsid wsp:val=&quot;00906E30&quot;/&gt;&lt;wsp:rsid wsp:val=&quot;009116B6&quot;/&gt;&lt;wsp:rsid wsp:val=&quot;0093774F&quot;/&gt;&lt;wsp:rsid wsp:val=&quot;00971652&quot;/&gt;&lt;wsp:rsid wsp:val=&quot;0097443D&quot;/&gt;&lt;wsp:rsid wsp:val=&quot;00982FCC&quot;/&gt;&lt;wsp:rsid wsp:val=&quot;0098314B&quot;/&gt;&lt;wsp:rsid wsp:val=&quot;00983444&quot;/&gt;&lt;wsp:rsid wsp:val=&quot;00986F65&quot;/&gt;&lt;wsp:rsid wsp:val=&quot;00990E46&quot;/&gt;&lt;wsp:rsid wsp:val=&quot;0099623A&quot;/&gt;&lt;wsp:rsid wsp:val=&quot;009A39AB&quot;/&gt;&lt;wsp:rsid wsp:val=&quot;009A4C7B&quot;/&gt;&lt;wsp:rsid wsp:val=&quot;009A597B&quot;/&gt;&lt;wsp:rsid wsp:val=&quot;009B779E&quot;/&gt;&lt;wsp:rsid wsp:val=&quot;009C1616&quot;/&gt;&lt;wsp:rsid wsp:val=&quot;009C34E5&quot;/&gt;&lt;wsp:rsid wsp:val=&quot;009C629B&quot;/&gt;&lt;wsp:rsid wsp:val=&quot;009C797F&quot;/&gt;&lt;wsp:rsid wsp:val=&quot;009E635E&quot;/&gt;&lt;wsp:rsid wsp:val=&quot;009F0099&quot;/&gt;&lt;wsp:rsid wsp:val=&quot;009F5F12&quot;/&gt;&lt;wsp:rsid wsp:val=&quot;00A00E8B&quot;/&gt;&lt;wsp:rsid wsp:val=&quot;00A014F3&quot;/&gt;&lt;wsp:rsid wsp:val=&quot;00A10F1A&quot;/&gt;&lt;wsp:rsid wsp:val=&quot;00A21015&quot;/&gt;&lt;wsp:rsid wsp:val=&quot;00A234BA&quot;/&gt;&lt;wsp:rsid wsp:val=&quot;00A313D3&quot;/&gt;&lt;wsp:rsid wsp:val=&quot;00A32CA9&quot;/&gt;&lt;wsp:rsid wsp:val=&quot;00A3469F&quot;/&gt;&lt;wsp:rsid wsp:val=&quot;00A42F9F&quot;/&gt;&lt;wsp:rsid wsp:val=&quot;00A4379E&quot;/&gt;&lt;wsp:rsid wsp:val=&quot;00A43BA3&quot;/&gt;&lt;wsp:rsid wsp:val=&quot;00A45CD2&quot;/&gt;&lt;wsp:rsid wsp:val=&quot;00A461FC&quot;/&gt;&lt;wsp:rsid wsp:val=&quot;00A516B9&quot;/&gt;&lt;wsp:rsid wsp:val=&quot;00A5472C&quot;/&gt;&lt;wsp:rsid wsp:val=&quot;00A55544&quot;/&gt;&lt;wsp:rsid wsp:val=&quot;00A61E62&quot;/&gt;&lt;wsp:rsid wsp:val=&quot;00A63B6E&quot;/&gt;&lt;wsp:rsid wsp:val=&quot;00A72C35&quot;/&gt;&lt;wsp:rsid wsp:val=&quot;00A73B95&quot;/&gt;&lt;wsp:rsid wsp:val=&quot;00A74C22&quot;/&gt;&lt;wsp:rsid wsp:val=&quot;00A76587&quot;/&gt;&lt;wsp:rsid wsp:val=&quot;00A77102&quot;/&gt;&lt;wsp:rsid wsp:val=&quot;00A906E2&quot;/&gt;&lt;wsp:rsid wsp:val=&quot;00A92B64&quot;/&gt;&lt;wsp:rsid wsp:val=&quot;00A97CEF&quot;/&gt;&lt;wsp:rsid wsp:val=&quot;00AA6650&quot;/&gt;&lt;wsp:rsid wsp:val=&quot;00AB45DA&quot;/&gt;&lt;wsp:rsid wsp:val=&quot;00AB74BB&quot;/&gt;&lt;wsp:rsid wsp:val=&quot;00AC3695&quot;/&gt;&lt;wsp:rsid wsp:val=&quot;00AC44E2&quot;/&gt;&lt;wsp:rsid wsp:val=&quot;00AD4ED7&quot;/&gt;&lt;wsp:rsid wsp:val=&quot;00AD5BD1&quot;/&gt;&lt;wsp:rsid wsp:val=&quot;00AE31D5&quot;/&gt;&lt;wsp:rsid wsp:val=&quot;00AF5A12&quot;/&gt;&lt;wsp:rsid wsp:val=&quot;00AF7544&quot;/&gt;&lt;wsp:rsid wsp:val=&quot;00B06B7E&quot;/&gt;&lt;wsp:rsid wsp:val=&quot;00B136B2&quot;/&gt;&lt;wsp:rsid wsp:val=&quot;00B14ED4&quot;/&gt;&lt;wsp:rsid wsp:val=&quot;00B16D96&quot;/&gt;&lt;wsp:rsid wsp:val=&quot;00B22299&quot;/&gt;&lt;wsp:rsid wsp:val=&quot;00B24936&quot;/&gt;&lt;wsp:rsid wsp:val=&quot;00B2754F&quot;/&gt;&lt;wsp:rsid wsp:val=&quot;00B305B2&quot;/&gt;&lt;wsp:rsid wsp:val=&quot;00B346A9&quot;/&gt;&lt;wsp:rsid wsp:val=&quot;00B34A94&quot;/&gt;&lt;wsp:rsid wsp:val=&quot;00B50A7A&quot;/&gt;&lt;wsp:rsid wsp:val=&quot;00B54A7B&quot;/&gt;&lt;wsp:rsid wsp:val=&quot;00B551D8&quot;/&gt;&lt;wsp:rsid wsp:val=&quot;00B61455&quot;/&gt;&lt;wsp:rsid wsp:val=&quot;00B620B6&quot;/&gt;&lt;wsp:rsid wsp:val=&quot;00B70683&quot;/&gt;&lt;wsp:rsid wsp:val=&quot;00B72ACB&quot;/&gt;&lt;wsp:rsid wsp:val=&quot;00B8132C&quot;/&gt;&lt;wsp:rsid wsp:val=&quot;00B82D19&quot;/&gt;&lt;wsp:rsid wsp:val=&quot;00B85335&quot;/&gt;&lt;wsp:rsid wsp:val=&quot;00B905C0&quot;/&gt;&lt;wsp:rsid wsp:val=&quot;00B912F4&quot;/&gt;&lt;wsp:rsid wsp:val=&quot;00B937E9&quot;/&gt;&lt;wsp:rsid wsp:val=&quot;00B9549A&quot;/&gt;&lt;wsp:rsid wsp:val=&quot;00B96394&quot;/&gt;&lt;wsp:rsid wsp:val=&quot;00B97060&quot;/&gt;&lt;wsp:rsid wsp:val=&quot;00BA187E&quot;/&gt;&lt;wsp:rsid wsp:val=&quot;00BA4DD6&quot;/&gt;&lt;wsp:rsid wsp:val=&quot;00BA527A&quot;/&gt;&lt;wsp:rsid wsp:val=&quot;00BB739A&quot;/&gt;&lt;wsp:rsid wsp:val=&quot;00BC42DA&quot;/&gt;&lt;wsp:rsid wsp:val=&quot;00BC46A3&quot;/&gt;&lt;wsp:rsid wsp:val=&quot;00BC7590&quot;/&gt;&lt;wsp:rsid wsp:val=&quot;00BC76D7&quot;/&gt;&lt;wsp:rsid wsp:val=&quot;00BD551E&quot;/&gt;&lt;wsp:rsid wsp:val=&quot;00BD5A4F&quot;/&gt;&lt;wsp:rsid wsp:val=&quot;00BD768F&quot;/&gt;&lt;wsp:rsid wsp:val=&quot;00BE5983&quot;/&gt;&lt;wsp:rsid wsp:val=&quot;00BF0B98&quot;/&gt;&lt;wsp:rsid wsp:val=&quot;00BF0E17&quot;/&gt;&lt;wsp:rsid wsp:val=&quot;00BF3CFC&quot;/&gt;&lt;wsp:rsid wsp:val=&quot;00BF6025&quot;/&gt;&lt;wsp:rsid wsp:val=&quot;00C01FB2&quot;/&gt;&lt;wsp:rsid wsp:val=&quot;00C04D5C&quot;/&gt;&lt;wsp:rsid wsp:val=&quot;00C06F81&quot;/&gt;&lt;wsp:rsid wsp:val=&quot;00C20237&quot;/&gt;&lt;wsp:rsid wsp:val=&quot;00C22EB7&quot;/&gt;&lt;wsp:rsid wsp:val=&quot;00C324A9&quot;/&gt;&lt;wsp:rsid wsp:val=&quot;00C325F3&quot;/&gt;&lt;wsp:rsid wsp:val=&quot;00C346CC&quot;/&gt;&lt;wsp:rsid wsp:val=&quot;00C3514D&quot;/&gt;&lt;wsp:rsid wsp:val=&quot;00C4401A&quot;/&gt;&lt;wsp:rsid wsp:val=&quot;00C5227D&quot;/&gt;&lt;wsp:rsid wsp:val=&quot;00C5609B&quot;/&gt;&lt;wsp:rsid wsp:val=&quot;00C56E68&quot;/&gt;&lt;wsp:rsid wsp:val=&quot;00C57779&quot;/&gt;&lt;wsp:rsid wsp:val=&quot;00C71788&quot;/&gt;&lt;wsp:rsid wsp:val=&quot;00C73D14&quot;/&gt;&lt;wsp:rsid wsp:val=&quot;00C75E36&quot;/&gt;&lt;wsp:rsid wsp:val=&quot;00C80484&quot;/&gt;&lt;wsp:rsid wsp:val=&quot;00C80B7C&quot;/&gt;&lt;wsp:rsid wsp:val=&quot;00C8260B&quot;/&gt;&lt;wsp:rsid wsp:val=&quot;00C87504&quot;/&gt;&lt;wsp:rsid wsp:val=&quot;00C90E02&quot;/&gt;&lt;wsp:rsid wsp:val=&quot;00CA11E7&quot;/&gt;&lt;wsp:rsid wsp:val=&quot;00CB5566&quot;/&gt;&lt;wsp:rsid wsp:val=&quot;00CC6806&quot;/&gt;&lt;wsp:rsid wsp:val=&quot;00CC6A56&quot;/&gt;&lt;wsp:rsid wsp:val=&quot;00CD2E25&quot;/&gt;&lt;wsp:rsid wsp:val=&quot;00CD5B6E&quot;/&gt;&lt;wsp:rsid wsp:val=&quot;00CD723F&quot;/&gt;&lt;wsp:rsid wsp:val=&quot;00CE7E79&quot;/&gt;&lt;wsp:rsid wsp:val=&quot;00CF3050&quot;/&gt;&lt;wsp:rsid wsp:val=&quot;00CF4544&quot;/&gt;&lt;wsp:rsid wsp:val=&quot;00D0341C&quot;/&gt;&lt;wsp:rsid wsp:val=&quot;00D11CF3&quot;/&gt;&lt;wsp:rsid wsp:val=&quot;00D120BB&quot;/&gt;&lt;wsp:rsid wsp:val=&quot;00D22908&quot;/&gt;&lt;wsp:rsid wsp:val=&quot;00D24EB7&quot;/&gt;&lt;wsp:rsid wsp:val=&quot;00D406AC&quot;/&gt;&lt;wsp:rsid wsp:val=&quot;00D47DDB&quot;/&gt;&lt;wsp:rsid wsp:val=&quot;00D505D0&quot;/&gt;&lt;wsp:rsid wsp:val=&quot;00D53B15&quot;/&gt;&lt;wsp:rsid wsp:val=&quot;00D56191&quot;/&gt;&lt;wsp:rsid wsp:val=&quot;00D61839&quot;/&gt;&lt;wsp:rsid wsp:val=&quot;00D624AC&quot;/&gt;&lt;wsp:rsid wsp:val=&quot;00D6550D&quot;/&gt;&lt;wsp:rsid wsp:val=&quot;00D6747A&quot;/&gt;&lt;wsp:rsid wsp:val=&quot;00D8280A&quot;/&gt;&lt;wsp:rsid wsp:val=&quot;00D91913&quot;/&gt;&lt;wsp:rsid wsp:val=&quot;00D94246&quot;/&gt;&lt;wsp:rsid wsp:val=&quot;00D952B0&quot;/&gt;&lt;wsp:rsid wsp:val=&quot;00DA0A25&quot;/&gt;&lt;wsp:rsid wsp:val=&quot;00DB08CF&quot;/&gt;&lt;wsp:rsid wsp:val=&quot;00DB2C9F&quot;/&gt;&lt;wsp:rsid wsp:val=&quot;00DB38F2&quot;/&gt;&lt;wsp:rsid wsp:val=&quot;00DC2E96&quot;/&gt;&lt;wsp:rsid wsp:val=&quot;00DC4CA5&quot;/&gt;&lt;wsp:rsid wsp:val=&quot;00DC77C3&quot;/&gt;&lt;wsp:rsid wsp:val=&quot;00DC77F9&quot;/&gt;&lt;wsp:rsid wsp:val=&quot;00DD5617&quot;/&gt;&lt;wsp:rsid wsp:val=&quot;00DD58EF&quot;/&gt;&lt;wsp:rsid wsp:val=&quot;00DE06AA&quot;/&gt;&lt;wsp:rsid wsp:val=&quot;00DF17FD&quot;/&gt;&lt;wsp:rsid wsp:val=&quot;00DF1E35&quot;/&gt;&lt;wsp:rsid wsp:val=&quot;00DF547D&quot;/&gt;&lt;wsp:rsid wsp:val=&quot;00DF6B85&quot;/&gt;&lt;wsp:rsid wsp:val=&quot;00E005AF&quot;/&gt;&lt;wsp:rsid wsp:val=&quot;00E12732&quot;/&gt;&lt;wsp:rsid wsp:val=&quot;00E12AFC&quot;/&gt;&lt;wsp:rsid wsp:val=&quot;00E15D14&quot;/&gt;&lt;wsp:rsid wsp:val=&quot;00E24178&quot;/&gt;&lt;wsp:rsid wsp:val=&quot;00E27380&quot;/&gt;&lt;wsp:rsid wsp:val=&quot;00E27657&quot;/&gt;&lt;wsp:rsid wsp:val=&quot;00E33953&quot;/&gt;&lt;wsp:rsid wsp:val=&quot;00E3533B&quot;/&gt;&lt;wsp:rsid wsp:val=&quot;00E46D50&quot;/&gt;&lt;wsp:rsid wsp:val=&quot;00E47094&quot;/&gt;&lt;wsp:rsid wsp:val=&quot;00E47382&quot;/&gt;&lt;wsp:rsid wsp:val=&quot;00E47ED5&quot;/&gt;&lt;wsp:rsid wsp:val=&quot;00E56DDD&quot;/&gt;&lt;wsp:rsid wsp:val=&quot;00E7183A&quot;/&gt;&lt;wsp:rsid wsp:val=&quot;00E72873&quot;/&gt;&lt;wsp:rsid wsp:val=&quot;00E73D7D&quot;/&gt;&lt;wsp:rsid wsp:val=&quot;00E777BC&quot;/&gt;&lt;wsp:rsid wsp:val=&quot;00E77B63&quot;/&gt;&lt;wsp:rsid wsp:val=&quot;00E808BD&quot;/&gt;&lt;wsp:rsid wsp:val=&quot;00E82E24&quot;/&gt;&lt;wsp:rsid wsp:val=&quot;00E82E48&quot;/&gt;&lt;wsp:rsid wsp:val=&quot;00E85779&quot;/&gt;&lt;wsp:rsid wsp:val=&quot;00EA69C6&quot;/&gt;&lt;wsp:rsid wsp:val=&quot;00EB196D&quot;/&gt;&lt;wsp:rsid wsp:val=&quot;00EB2399&quot;/&gt;&lt;wsp:rsid wsp:val=&quot;00EC398C&quot;/&gt;&lt;wsp:rsid wsp:val=&quot;00ED3A21&quot;/&gt;&lt;wsp:rsid wsp:val=&quot;00ED44E9&quot;/&gt;&lt;wsp:rsid wsp:val=&quot;00EE56A8&quot;/&gt;&lt;wsp:rsid wsp:val=&quot;00EF19A7&quot;/&gt;&lt;wsp:rsid wsp:val=&quot;00EF3CCB&quot;/&gt;&lt;wsp:rsid wsp:val=&quot;00EF7189&quot;/&gt;&lt;wsp:rsid wsp:val=&quot;00F00B94&quot;/&gt;&lt;wsp:rsid wsp:val=&quot;00F02F23&quot;/&gt;&lt;wsp:rsid wsp:val=&quot;00F03050&quot;/&gt;&lt;wsp:rsid wsp:val=&quot;00F06B6B&quot;/&gt;&lt;wsp:rsid wsp:val=&quot;00F21B22&quot;/&gt;&lt;wsp:rsid wsp:val=&quot;00F23BE8&quot;/&gt;&lt;wsp:rsid wsp:val=&quot;00F272CE&quot;/&gt;&lt;wsp:rsid wsp:val=&quot;00F3058C&quot;/&gt;&lt;wsp:rsid wsp:val=&quot;00F3197F&quot;/&gt;&lt;wsp:rsid wsp:val=&quot;00F455D6&quot;/&gt;&lt;wsp:rsid wsp:val=&quot;00F45F97&quot;/&gt;&lt;wsp:rsid wsp:val=&quot;00F46E96&quot;/&gt;&lt;wsp:rsid wsp:val=&quot;00F5179E&quot;/&gt;&lt;wsp:rsid wsp:val=&quot;00F60827&quot;/&gt;&lt;wsp:rsid wsp:val=&quot;00F60C91&quot;/&gt;&lt;wsp:rsid wsp:val=&quot;00F6107E&quot;/&gt;&lt;wsp:rsid wsp:val=&quot;00F71B52&quot;/&gt;&lt;wsp:rsid wsp:val=&quot;00F762F1&quot;/&gt;&lt;wsp:rsid wsp:val=&quot;00F846EE&quot;/&gt;&lt;wsp:rsid wsp:val=&quot;00F86FC1&quot;/&gt;&lt;wsp:rsid wsp:val=&quot;00F874A6&quot;/&gt;&lt;wsp:rsid wsp:val=&quot;00F91FE0&quot;/&gt;&lt;wsp:rsid wsp:val=&quot;00F92673&quot;/&gt;&lt;wsp:rsid wsp:val=&quot;00F9286A&quot;/&gt;&lt;wsp:rsid wsp:val=&quot;00F93C48&quot;/&gt;&lt;wsp:rsid wsp:val=&quot;00F94D29&quot;/&gt;&lt;wsp:rsid wsp:val=&quot;00F966EF&quot;/&gt;&lt;wsp:rsid wsp:val=&quot;00FC4369&quot;/&gt;&lt;wsp:rsid wsp:val=&quot;00FC582E&quot;/&gt;&lt;wsp:rsid wsp:val=&quot;00FD3B36&quot;/&gt;&lt;wsp:rsid wsp:val=&quot;00FD4C77&quot;/&gt;&lt;wsp:rsid wsp:val=&quot;00FD75C8&quot;/&gt;&lt;wsp:rsid wsp:val=&quot;00FE048E&quot;/&gt;&lt;wsp:rsid wsp:val=&quot;00FF061F&quot;/&gt;&lt;wsp:rsid wsp:val=&quot;00FF4AB1&quot;/&gt;&lt;/wsp:rsids&gt;&lt;/w:docPr&gt;&lt;w:body&gt;&lt;w:p wsp:rsidR=&quot;00000000&quot; wsp:rsidRDefault=&quot;001F3487&quot;&gt;&lt;m:oMathPara&gt;&lt;m:oMath&gt;&lt;m:r&gt;&lt;m:rPr&gt;&lt;m:sty m:val=&quot;p&quot;/&gt;&lt;/m:rPr&gt;&lt;w:rPr&gt;&lt;w:rFonts w:ascii=&quot;Cambria Math&quot; w:h-ansi=&quot;Cambria Math&quot;/&gt;&lt;wx:font wx:val=&quot;Cambria Math&quot;/&gt;&lt;/w:rPr&gt;&lt;m:t&gt;R=&lt;/m:t&gt;&lt;/m:r&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 w:cs=&quot;Cambria Math&quot;/&gt;&lt;wx:font wx:val=&quot;Cambria Math&quot;/&gt;&lt;/w:rPr&gt;&lt;m:t&gt;A&lt;/m:t&gt;&lt;/m:r&gt;&lt;/m:num&gt;&lt;m:den&gt;&lt;m:d&gt;&lt;m:dPr&gt;&lt;m:ctrlPr&gt;&lt;w:rPr&gt;&lt;w:rFonts w:ascii=&quot;Cambria Math&quot; w:h-ansi=&quot;Cambria Math&quot; w:cs=&quot;Cambria Math&quot;/&gt;&lt;wx:font wx:val=&quot;Cambria Math&quot;/&gt;&lt;/w:rPr&gt;&lt;/m:ctrlPr&gt;&lt;/m:dPr&gt;&lt;m:e&gt;&lt;m:r&gt;&lt;m:rPr&gt;&lt;m:sty m:val=&quot;p&quot;/&gt;&lt;/m:rPr&gt;&lt;w:rPr&gt;&lt;w:rFonts w:ascii=&quot;Cambria Math&quot; w:h-ansi=&quot;Cambria Math&quot; w:cs=&quot;Cambria Math&quot;/&gt;&lt;wx:font wx:val=&quot;Cambria Math&quot;/&gt;&lt;/w:rPr&gt;&lt;m:t&gt;F2-F1&lt;/m:t&gt;&lt;/m:r&gt;&lt;/m:e&gt;&lt;/m:d&gt;&lt;m:r&gt;&lt;m:rPr&gt;&lt;m:sty m:val=&quot;p&quot;/&gt;&lt;/m:rPr&gt;&lt;w:rPr&gt;&lt;w:rFonts w:ascii=&quot;Cambria Math&quot; w:h-ansi=&quot;Cambria Math&quot; w:cs=&quot;Cambria Math&quot;/&gt;&lt;wx:font wx:val=&quot;Cambria Math&quot;/&gt;&lt;/w:rPr&gt;&lt;m:t&gt;S&lt;/m:t&gt;&lt;/m:r&gt;&lt;/m:den&gt;&lt;/m:f&gt;&lt;m:r&gt;&lt;m:rPr&gt;&lt;m:sty m:val=&quot;p&quot;/&gt;&lt;/m:rPr&gt;&lt;w:rPr&gt;&lt;w:rFonts w:ascii=&quot;Cambria Math&quot; w:h-ansi=&quot;Cambria Math&quot;/&gt;&lt;wx:font wx:val=&quot;Cambria Math&quot;/&gt;&lt;/w:rPr&gt;&lt;m:t&gt;(C-F1S)&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path/>
            <v:fill on="f" focussize="0,0"/>
            <v:stroke on="f"/>
            <v:imagedata r:id="rId4" chromakey="#FFFFFF" o:title=""/>
            <o:lock v:ext="edit" aspectratio="t"/>
            <w10:wrap type="none"/>
            <w10:anchorlock/>
          </v:shape>
        </w:pict>
      </w:r>
      <w:r>
        <w:fldChar w:fldCharType="end"/>
      </w:r>
    </w:p>
    <w:p w14:paraId="6A1D25E7">
      <w:r>
        <w:rPr>
          <w:rFonts w:hint="eastAsia"/>
        </w:rPr>
        <w:t>式中　R——每次进度付款中累计扣回的金额；</w:t>
      </w:r>
    </w:p>
    <w:p w14:paraId="6C445E8F">
      <w:r>
        <w:rPr>
          <w:rFonts w:hint="eastAsia"/>
        </w:rPr>
        <w:t>　　　A——工程预付款总金额；</w:t>
      </w:r>
    </w:p>
    <w:p w14:paraId="2F92B442">
      <w:r>
        <w:rPr>
          <w:rFonts w:hint="eastAsia"/>
        </w:rPr>
        <w:t>　　　S——签约合同价；</w:t>
      </w:r>
    </w:p>
    <w:p w14:paraId="7C0FC4E7">
      <w:r>
        <w:rPr>
          <w:rFonts w:hint="eastAsia"/>
        </w:rPr>
        <w:t>　　　C——合同累计完成金额；</w:t>
      </w:r>
    </w:p>
    <w:p w14:paraId="2B5E35B4">
      <w:r>
        <w:rPr>
          <w:rFonts w:hint="eastAsia"/>
        </w:rPr>
        <w:t>　　　F1——开始扣款时合同累计完成金额达到签约合同价的比例；</w:t>
      </w:r>
    </w:p>
    <w:p w14:paraId="693C443D">
      <w:r>
        <w:rPr>
          <w:rFonts w:hint="eastAsia"/>
        </w:rPr>
        <w:t>　　　F2——全部扣清时合同累计完成金额达到签约合同价的比例。</w:t>
      </w:r>
    </w:p>
    <w:p w14:paraId="05B967D5">
      <w:r>
        <w:rPr>
          <w:rFonts w:hint="eastAsia"/>
        </w:rPr>
        <w:t>　　上述合同累计完成金额均指价格调整前未扣质量保证金的金额。</w:t>
      </w:r>
    </w:p>
    <w:p w14:paraId="6A990771">
      <w:r>
        <w:rPr>
          <w:rFonts w:hint="eastAsia"/>
        </w:rPr>
        <w:t>　　(2)工程材料预付款的扣回与还清约定为：　　　　。</w:t>
      </w:r>
    </w:p>
    <w:p w14:paraId="5E2E6F2E">
      <w:r>
        <w:rPr>
          <w:rFonts w:hint="eastAsia"/>
        </w:rPr>
        <w:t>　17.4　质量保证金</w:t>
      </w:r>
    </w:p>
    <w:p w14:paraId="38B0F685">
      <w:r>
        <w:rPr>
          <w:rFonts w:hint="eastAsia"/>
        </w:rPr>
        <w:t>　　17.4.1　每个付款周期扣留的质量保证金为工程进度付款的　　　　%，扣留的质量保证金总额为签约合同价的　　　　%。</w:t>
      </w:r>
    </w:p>
    <w:p w14:paraId="3ADE754D">
      <w:r>
        <w:rPr>
          <w:rFonts w:hint="eastAsia"/>
        </w:rPr>
        <w:t>　17.5　竣工(完工)结算</w:t>
      </w:r>
    </w:p>
    <w:p w14:paraId="50E7AE02">
      <w:r>
        <w:rPr>
          <w:rFonts w:hint="eastAsia"/>
        </w:rPr>
        <w:t>　　17.5.1　竣工(完工)付款申请单</w:t>
      </w:r>
    </w:p>
    <w:p w14:paraId="1B57E246">
      <w:r>
        <w:rPr>
          <w:rFonts w:hint="eastAsia"/>
        </w:rPr>
        <w:t>　　(1)承包人应提交完工付款申请单一式　　　　份。</w:t>
      </w:r>
    </w:p>
    <w:p w14:paraId="1DEE3297">
      <w:r>
        <w:rPr>
          <w:rFonts w:hint="eastAsia"/>
        </w:rPr>
        <w:t>　17.6　最终结清</w:t>
      </w:r>
    </w:p>
    <w:p w14:paraId="6D8F907E">
      <w:r>
        <w:rPr>
          <w:rFonts w:hint="eastAsia"/>
        </w:rPr>
        <w:t>　　17.6.1　最终结清申请单</w:t>
      </w:r>
    </w:p>
    <w:p w14:paraId="6954C380">
      <w:r>
        <w:rPr>
          <w:rFonts w:hint="eastAsia"/>
        </w:rPr>
        <w:t>　　(1)承包人应提交最终结清申请单一式　　　份。</w:t>
      </w:r>
    </w:p>
    <w:p w14:paraId="0F3AEA76">
      <w:r>
        <w:rPr>
          <w:rFonts w:hint="eastAsia"/>
        </w:rPr>
        <w:t>　17.7　竣工财务决算</w:t>
      </w:r>
    </w:p>
    <w:p w14:paraId="5D6384F1">
      <w:r>
        <w:rPr>
          <w:rFonts w:hint="eastAsia"/>
        </w:rPr>
        <w:t>　　承包人应为竣工财务决算编制提供的资料：　　　　　。</w:t>
      </w:r>
    </w:p>
    <w:p w14:paraId="1D95DE28">
      <w:pPr>
        <w:rPr>
          <w:b/>
        </w:rPr>
      </w:pPr>
      <w:bookmarkStart w:id="42" w:name="第04章合同条款及格式0218"/>
      <w:bookmarkEnd w:id="42"/>
      <w:r>
        <w:rPr>
          <w:rFonts w:hint="eastAsia"/>
          <w:b/>
        </w:rPr>
        <w:t>18　竣工验收(验收)</w:t>
      </w:r>
    </w:p>
    <w:p w14:paraId="17B80ECC">
      <w:r>
        <w:rPr>
          <w:rFonts w:hint="eastAsia"/>
        </w:rPr>
        <w:t>　18.1　验收工作分类</w:t>
      </w:r>
    </w:p>
    <w:p w14:paraId="1C591FC9">
      <w:r>
        <w:rPr>
          <w:rFonts w:hint="eastAsia"/>
        </w:rPr>
        <w:t>　　本工程法人验收包括：　　　　；政府验收包括：　　　　。验收条件为：　　　　　，验收程序为：　　　　。</w:t>
      </w:r>
    </w:p>
    <w:p w14:paraId="63EF375A">
      <w:r>
        <w:rPr>
          <w:rFonts w:hint="eastAsia"/>
        </w:rPr>
        <w:t>　18.2　分部工程验收</w:t>
      </w:r>
    </w:p>
    <w:p w14:paraId="76981B1C">
      <w:r>
        <w:rPr>
          <w:rFonts w:hint="eastAsia"/>
        </w:rPr>
        <w:t>　　18.2.2　本工程由发包人主持的分部工程验收为　　　　，其余由监理人主持。</w:t>
      </w:r>
    </w:p>
    <w:p w14:paraId="079D8CD8">
      <w:r>
        <w:rPr>
          <w:rFonts w:hint="eastAsia"/>
        </w:rPr>
        <w:t>　18.3　单位工程验收</w:t>
      </w:r>
    </w:p>
    <w:p w14:paraId="6430670C">
      <w:r>
        <w:rPr>
          <w:rFonts w:hint="eastAsia"/>
        </w:rPr>
        <w:t>　　18.3.4　提前投入使用的单位工程包括：　　、　　、　　。</w:t>
      </w:r>
    </w:p>
    <w:p w14:paraId="48624DED">
      <w:r>
        <w:rPr>
          <w:rFonts w:hint="eastAsia"/>
        </w:rPr>
        <w:t>　18.5　阶段验收</w:t>
      </w:r>
    </w:p>
    <w:p w14:paraId="3CAE86AA">
      <w:r>
        <w:rPr>
          <w:rFonts w:hint="eastAsia"/>
        </w:rPr>
        <w:t>　　18.5.1　本合同工程阶段验收类别包括：　　、　　、　　。</w:t>
      </w:r>
    </w:p>
    <w:p w14:paraId="340B50DD">
      <w:r>
        <w:rPr>
          <w:rFonts w:hint="eastAsia"/>
        </w:rPr>
        <w:t>　18.6　专项验收</w:t>
      </w:r>
    </w:p>
    <w:p w14:paraId="10399D1E">
      <w:r>
        <w:rPr>
          <w:rFonts w:hint="eastAsia"/>
        </w:rPr>
        <w:t>　　18.6.2　本合同工程专项验收类别包括：　　、　　、　　。</w:t>
      </w:r>
    </w:p>
    <w:p w14:paraId="3456F7D2">
      <w:r>
        <w:rPr>
          <w:rFonts w:hint="eastAsia"/>
        </w:rPr>
        <w:t>　18.7　竣工验收</w:t>
      </w:r>
    </w:p>
    <w:p w14:paraId="559D1841">
      <w:r>
        <w:rPr>
          <w:rFonts w:hint="eastAsia"/>
        </w:rPr>
        <w:t>　　18.7.3　本工程　　　　(需要／不需要)竣工验收技术鉴定(蓄水安全鉴定)。</w:t>
      </w:r>
    </w:p>
    <w:p w14:paraId="46F6DF02">
      <w:r>
        <w:rPr>
          <w:rFonts w:hint="eastAsia"/>
        </w:rPr>
        <w:t>　18.8　施工期运行</w:t>
      </w:r>
    </w:p>
    <w:p w14:paraId="44796F65">
      <w:r>
        <w:rPr>
          <w:rFonts w:hint="eastAsia"/>
        </w:rPr>
        <w:t>　　18.8.1　需要在施工期运行的单位工程或工程设备为：　　、　　、　　。</w:t>
      </w:r>
    </w:p>
    <w:p w14:paraId="4AE97116">
      <w:r>
        <w:rPr>
          <w:rFonts w:hint="eastAsia"/>
        </w:rPr>
        <w:t>　18.9　试运行</w:t>
      </w:r>
    </w:p>
    <w:p w14:paraId="371E8647">
      <w:r>
        <w:rPr>
          <w:rFonts w:hint="eastAsia"/>
        </w:rPr>
        <w:t>　　18.9.1　试运行的组织：　　；费用承担：　　。</w:t>
      </w:r>
    </w:p>
    <w:p w14:paraId="6C7AF27F">
      <w:pPr>
        <w:rPr>
          <w:b/>
        </w:rPr>
      </w:pPr>
      <w:bookmarkStart w:id="43" w:name="第04章合同条款及格式0219"/>
      <w:bookmarkEnd w:id="43"/>
      <w:r>
        <w:rPr>
          <w:rFonts w:hint="eastAsia"/>
          <w:b/>
        </w:rPr>
        <w:t>19　缺陷责任与保修责任</w:t>
      </w:r>
    </w:p>
    <w:p w14:paraId="244B520B">
      <w:r>
        <w:rPr>
          <w:rFonts w:hint="eastAsia"/>
        </w:rPr>
        <w:t>　19.1　缺陷责任期(工程质量保修期)的起算时间</w:t>
      </w:r>
    </w:p>
    <w:p w14:paraId="7238C9A1">
      <w:r>
        <w:rPr>
          <w:rFonts w:hint="eastAsia"/>
        </w:rPr>
        <w:t>　　本工程缺陷责任期(工程质量保修期)计算如下：　　　　。</w:t>
      </w:r>
    </w:p>
    <w:p w14:paraId="2C92FAEE">
      <w:pPr>
        <w:rPr>
          <w:b/>
        </w:rPr>
      </w:pPr>
      <w:bookmarkStart w:id="44" w:name="第04章合同条款及格式0220"/>
      <w:bookmarkEnd w:id="44"/>
      <w:r>
        <w:rPr>
          <w:rFonts w:hint="eastAsia"/>
          <w:b/>
        </w:rPr>
        <w:t>20　保险</w:t>
      </w:r>
    </w:p>
    <w:p w14:paraId="11EF3CC6">
      <w:r>
        <w:rPr>
          <w:rFonts w:hint="eastAsia"/>
        </w:rPr>
        <w:t>　20.1　工程保险</w:t>
      </w:r>
    </w:p>
    <w:p w14:paraId="668FBD17">
      <w:r>
        <w:rPr>
          <w:rFonts w:hint="eastAsia"/>
        </w:rPr>
        <w:t>　　建筑工程一切险和(或)安装工程一切险投保人：　　；</w:t>
      </w:r>
    </w:p>
    <w:p w14:paraId="4E23171F">
      <w:r>
        <w:rPr>
          <w:rFonts w:hint="eastAsia"/>
        </w:rPr>
        <w:t>　　投保内容：　　；</w:t>
      </w:r>
    </w:p>
    <w:p w14:paraId="7782095F">
      <w:r>
        <w:rPr>
          <w:rFonts w:hint="eastAsia"/>
        </w:rPr>
        <w:t>　　保险金额、保险费率和保险期限：　　　　　　。</w:t>
      </w:r>
    </w:p>
    <w:p w14:paraId="5370A57E">
      <w:r>
        <w:rPr>
          <w:rFonts w:hint="eastAsia"/>
        </w:rPr>
        <w:t>　20.4　第三者责任险</w:t>
      </w:r>
    </w:p>
    <w:p w14:paraId="45DB6872">
      <w:r>
        <w:rPr>
          <w:rFonts w:hint="eastAsia"/>
        </w:rPr>
        <w:t>　　20.4.2　第三者责任险保险费率：　　　　；</w:t>
      </w:r>
    </w:p>
    <w:p w14:paraId="3A3E12F5">
      <w:r>
        <w:rPr>
          <w:rFonts w:hint="eastAsia"/>
        </w:rPr>
        <w:t>　　第三者责任险保险金额：　　　。</w:t>
      </w:r>
    </w:p>
    <w:p w14:paraId="3B2D9CD2">
      <w:r>
        <w:rPr>
          <w:rFonts w:hint="eastAsia"/>
        </w:rPr>
        <w:t>　20.5　其它保险</w:t>
      </w:r>
    </w:p>
    <w:p w14:paraId="59F0C865">
      <w:r>
        <w:rPr>
          <w:rFonts w:hint="eastAsia"/>
        </w:rPr>
        <w:t>　　需要投保的其它内容：　　　　；</w:t>
      </w:r>
    </w:p>
    <w:p w14:paraId="63EE3B16">
      <w:r>
        <w:rPr>
          <w:rFonts w:hint="eastAsia"/>
        </w:rPr>
        <w:t>　　保险金额、保险费率和保险期限：　　　　。</w:t>
      </w:r>
    </w:p>
    <w:p w14:paraId="5C483364">
      <w:r>
        <w:rPr>
          <w:rFonts w:hint="eastAsia"/>
        </w:rPr>
        <w:t>　20.6　对各项保险的一般要求</w:t>
      </w:r>
    </w:p>
    <w:p w14:paraId="37D9437D">
      <w:r>
        <w:rPr>
          <w:rFonts w:hint="eastAsia"/>
        </w:rPr>
        <w:t>　　20.6.1　保险凭证</w:t>
      </w:r>
    </w:p>
    <w:p w14:paraId="74E3C5E7">
      <w:r>
        <w:rPr>
          <w:rFonts w:hint="eastAsia"/>
        </w:rPr>
        <w:t>　　承包人提交保险凭证的期限：　　　　。</w:t>
      </w:r>
    </w:p>
    <w:p w14:paraId="3B4A5E6F">
      <w:r>
        <w:rPr>
          <w:rFonts w:hint="eastAsia"/>
        </w:rPr>
        <w:t>　　保险条件：　　　　；</w:t>
      </w:r>
    </w:p>
    <w:p w14:paraId="48241A67">
      <w:r>
        <w:rPr>
          <w:rFonts w:hint="eastAsia"/>
        </w:rPr>
        <w:t>　　20.6.4　保险金不足的补偿</w:t>
      </w:r>
    </w:p>
    <w:p w14:paraId="25FD5F86">
      <w:r>
        <w:rPr>
          <w:rFonts w:hint="eastAsia"/>
        </w:rPr>
        <w:t>　　承包人负责补偿的范围与金额：　　　　；</w:t>
      </w:r>
    </w:p>
    <w:p w14:paraId="2400CF1A">
      <w:r>
        <w:rPr>
          <w:rFonts w:hint="eastAsia"/>
        </w:rPr>
        <w:t>　　发包人负责补偿的范围与金额：　　　　。</w:t>
      </w:r>
    </w:p>
    <w:p w14:paraId="6D4CCDB7">
      <w:pPr>
        <w:rPr>
          <w:b/>
        </w:rPr>
      </w:pPr>
      <w:bookmarkStart w:id="45" w:name="第04章合同条款及格式0224"/>
      <w:bookmarkEnd w:id="45"/>
      <w:r>
        <w:rPr>
          <w:rFonts w:hint="eastAsia"/>
          <w:b/>
        </w:rPr>
        <w:t>24　争议的解决</w:t>
      </w:r>
    </w:p>
    <w:p w14:paraId="3A5E1FB7">
      <w:r>
        <w:rPr>
          <w:rFonts w:hint="eastAsia"/>
        </w:rPr>
        <w:t>　24.1　争议的解决方式</w:t>
      </w:r>
    </w:p>
    <w:p w14:paraId="6B3D19B9">
      <w:r>
        <w:rPr>
          <w:rFonts w:hint="eastAsia"/>
        </w:rPr>
        <w:t>　　合同当事人友好协商解决不成、不愿提请争议评审或不接受争议评审组意见的，约定的合同争议解决方式：　　　　。</w:t>
      </w:r>
    </w:p>
    <w:p w14:paraId="3F8779A8">
      <w:pPr>
        <w:rPr>
          <w:rFonts w:hint="eastAsia"/>
        </w:rPr>
      </w:pPr>
    </w:p>
    <w:p w14:paraId="73DD9881">
      <w:pPr>
        <w:rPr>
          <w:rFonts w:hint="eastAsia"/>
        </w:rPr>
      </w:pPr>
    </w:p>
    <w:p w14:paraId="14E2BA69">
      <w:pPr>
        <w:jc w:val="center"/>
        <w:rPr>
          <w:rFonts w:eastAsia="黑体"/>
          <w:sz w:val="32"/>
          <w:szCs w:val="32"/>
        </w:rPr>
      </w:pPr>
      <w:bookmarkStart w:id="46" w:name="第04章合同条款及格式03"/>
      <w:bookmarkEnd w:id="46"/>
      <w:r>
        <w:rPr>
          <w:rFonts w:hAnsi="黑体" w:eastAsia="黑体"/>
          <w:sz w:val="32"/>
          <w:szCs w:val="32"/>
        </w:rPr>
        <w:t>第</w:t>
      </w:r>
      <w:r>
        <w:rPr>
          <w:rFonts w:eastAsia="黑体"/>
          <w:sz w:val="32"/>
          <w:szCs w:val="32"/>
        </w:rPr>
        <w:t>3</w:t>
      </w:r>
      <w:r>
        <w:rPr>
          <w:rFonts w:hAnsi="黑体" w:eastAsia="黑体"/>
          <w:sz w:val="32"/>
          <w:szCs w:val="32"/>
        </w:rPr>
        <w:t>节　合同附件格式</w:t>
      </w:r>
    </w:p>
    <w:p w14:paraId="1945A149">
      <w:pPr>
        <w:rPr>
          <w:rFonts w:hint="eastAsia"/>
        </w:rPr>
      </w:pPr>
    </w:p>
    <w:p w14:paraId="34A8E57D">
      <w:pPr>
        <w:rPr>
          <w:rFonts w:hint="eastAsia"/>
        </w:rPr>
      </w:pPr>
      <w:r>
        <w:br w:type="page"/>
      </w:r>
    </w:p>
    <w:p w14:paraId="5FFCDB1C">
      <w:pPr>
        <w:rPr>
          <w:rFonts w:hint="eastAsia"/>
        </w:rPr>
      </w:pPr>
      <w:r>
        <w:rPr>
          <w:rFonts w:hint="eastAsia"/>
        </w:rPr>
        <w:t>附件一：</w:t>
      </w:r>
    </w:p>
    <w:p w14:paraId="244FD87F"/>
    <w:p w14:paraId="66BC273D">
      <w:pPr>
        <w:jc w:val="center"/>
        <w:rPr>
          <w:rFonts w:hint="eastAsia" w:ascii="黑体" w:hAnsi="黑体" w:eastAsia="黑体"/>
          <w:b/>
          <w:sz w:val="32"/>
          <w:szCs w:val="32"/>
        </w:rPr>
      </w:pPr>
      <w:bookmarkStart w:id="47" w:name="第04章合同条款及格式03附件01"/>
      <w:bookmarkEnd w:id="47"/>
      <w:r>
        <w:rPr>
          <w:rFonts w:hint="eastAsia" w:ascii="黑体" w:hAnsi="黑体" w:eastAsia="黑体"/>
          <w:b/>
          <w:sz w:val="32"/>
          <w:szCs w:val="32"/>
        </w:rPr>
        <w:t>合同协议书</w:t>
      </w:r>
    </w:p>
    <w:p w14:paraId="5C1CAE82">
      <w:pPr>
        <w:jc w:val="left"/>
      </w:pPr>
    </w:p>
    <w:p w14:paraId="12DF00D3">
      <w:r>
        <w:rPr>
          <w:rFonts w:hint="eastAsia"/>
        </w:rPr>
        <w:t>　　</w:t>
      </w:r>
      <w:r>
        <w:rPr>
          <w:rFonts w:hint="eastAsia"/>
          <w:u w:val="single"/>
        </w:rPr>
        <w:t>　　　　　　　　</w:t>
      </w:r>
      <w:r>
        <w:rPr>
          <w:rFonts w:hint="eastAsia"/>
        </w:rPr>
        <w:t>(发包人名称，以下简称“发包人”)为实施</w:t>
      </w:r>
      <w:r>
        <w:rPr>
          <w:rFonts w:hint="eastAsia"/>
          <w:u w:val="single"/>
        </w:rPr>
        <w:t>　　　　　　　　　　</w:t>
      </w:r>
      <w:r>
        <w:rPr>
          <w:rFonts w:hint="eastAsia"/>
        </w:rPr>
        <w:t>(项目名称)，已接受</w:t>
      </w:r>
      <w:r>
        <w:rPr>
          <w:rFonts w:hint="eastAsia"/>
          <w:u w:val="single"/>
        </w:rPr>
        <w:t>　　　　　</w:t>
      </w:r>
      <w:r>
        <w:rPr>
          <w:rFonts w:hint="eastAsia"/>
        </w:rPr>
        <w:t>(承包人名称，以下简称“承包人”)</w:t>
      </w:r>
      <w:r>
        <w:rPr>
          <w:rFonts w:hint="eastAsia"/>
          <w:u w:val="single"/>
        </w:rPr>
        <w:t>　　　　</w:t>
      </w:r>
      <w:r>
        <w:rPr>
          <w:rFonts w:hint="eastAsia"/>
        </w:rPr>
        <w:t>对(项目名称)</w:t>
      </w:r>
      <w:r>
        <w:rPr>
          <w:rFonts w:hint="eastAsia"/>
          <w:u w:val="single"/>
        </w:rPr>
        <w:t>　　　　　</w:t>
      </w:r>
      <w:r>
        <w:rPr>
          <w:rFonts w:hint="eastAsia"/>
        </w:rPr>
        <w:t>(标段名称)的投标，并确定其为中标人。发包人和承包人共同达成如下协议。</w:t>
      </w:r>
    </w:p>
    <w:p w14:paraId="57BE09B2">
      <w:r>
        <w:rPr>
          <w:rFonts w:hint="eastAsia"/>
        </w:rPr>
        <w:t>　　1.本协议书与下列文件一起构成合同文件：</w:t>
      </w:r>
    </w:p>
    <w:p w14:paraId="1034A6B8">
      <w:r>
        <w:rPr>
          <w:rFonts w:hint="eastAsia"/>
        </w:rPr>
        <w:t>　　(1)中标通知书；</w:t>
      </w:r>
    </w:p>
    <w:p w14:paraId="54284AF2">
      <w:r>
        <w:rPr>
          <w:rFonts w:hint="eastAsia"/>
        </w:rPr>
        <w:t>　　(2)投标函及投标函附录；</w:t>
      </w:r>
    </w:p>
    <w:p w14:paraId="24C8F7A2">
      <w:r>
        <w:rPr>
          <w:rFonts w:hint="eastAsia"/>
        </w:rPr>
        <w:t>　　(3)专用合同条款；</w:t>
      </w:r>
    </w:p>
    <w:p w14:paraId="42904F01">
      <w:r>
        <w:rPr>
          <w:rFonts w:hint="eastAsia"/>
        </w:rPr>
        <w:t>　　(4)通用合同条款；</w:t>
      </w:r>
    </w:p>
    <w:p w14:paraId="4E40AE61">
      <w:r>
        <w:rPr>
          <w:rFonts w:hint="eastAsia"/>
        </w:rPr>
        <w:t>　　(5)技术标准和要求(合同技术条款)；</w:t>
      </w:r>
    </w:p>
    <w:p w14:paraId="0E2AA23D">
      <w:r>
        <w:rPr>
          <w:rFonts w:hint="eastAsia"/>
        </w:rPr>
        <w:t>　　(6)图纸；</w:t>
      </w:r>
    </w:p>
    <w:p w14:paraId="24AF4635">
      <w:r>
        <w:rPr>
          <w:rFonts w:hint="eastAsia"/>
        </w:rPr>
        <w:t>　　(7)已标价工程量清单；</w:t>
      </w:r>
    </w:p>
    <w:p w14:paraId="5F8CFBFD">
      <w:r>
        <w:rPr>
          <w:rFonts w:hint="eastAsia"/>
        </w:rPr>
        <w:t>　　(8)其它合同文件。</w:t>
      </w:r>
    </w:p>
    <w:p w14:paraId="231F8E82">
      <w:r>
        <w:rPr>
          <w:rFonts w:hint="eastAsia"/>
        </w:rPr>
        <w:t>　　2.上述文件互相补充和解释，如有不明确或不一致之处，以合同约定次序在先者为准。</w:t>
      </w:r>
    </w:p>
    <w:p w14:paraId="0DB74C90">
      <w:r>
        <w:rPr>
          <w:rFonts w:hint="eastAsia"/>
        </w:rPr>
        <w:t>　　3.签约合同价：人民币(大写)　　　　　元(￥　　　　　元)。</w:t>
      </w:r>
    </w:p>
    <w:p w14:paraId="6294347E">
      <w:r>
        <w:rPr>
          <w:rFonts w:hint="eastAsia"/>
        </w:rPr>
        <w:t>　　4.承包人项目经理：　　　　。</w:t>
      </w:r>
    </w:p>
    <w:p w14:paraId="2A02D3CC">
      <w:r>
        <w:rPr>
          <w:rFonts w:hint="eastAsia"/>
        </w:rPr>
        <w:t>　　5.工程质量符合　　　　标准。</w:t>
      </w:r>
    </w:p>
    <w:p w14:paraId="50F6FB1B">
      <w:r>
        <w:rPr>
          <w:rFonts w:hint="eastAsia"/>
        </w:rPr>
        <w:t>　　6.承包人承诺按合同约定承担工程的实施、完成及缺陷修复。</w:t>
      </w:r>
    </w:p>
    <w:p w14:paraId="0E7A655A">
      <w:r>
        <w:rPr>
          <w:rFonts w:hint="eastAsia"/>
        </w:rPr>
        <w:t>　　7.发包人承诺按合同约定的条件、时间和方式向承包人支付合同价款。</w:t>
      </w:r>
    </w:p>
    <w:p w14:paraId="581CD92B">
      <w:r>
        <w:rPr>
          <w:rFonts w:hint="eastAsia"/>
        </w:rPr>
        <w:t>　　8.承包人承诺执行监理人开工通知，计划工期为　　　天。</w:t>
      </w:r>
    </w:p>
    <w:p w14:paraId="5BC1B807">
      <w:r>
        <w:rPr>
          <w:rFonts w:hint="eastAsia"/>
        </w:rPr>
        <w:t>　　9.本协议书一式　　份，合同双方各执一份。</w:t>
      </w:r>
    </w:p>
    <w:p w14:paraId="32F1F7BB">
      <w:r>
        <w:rPr>
          <w:rFonts w:hint="eastAsia"/>
        </w:rPr>
        <w:t>　　10.合同未尽事宜，双方另行签订补充协议。补充协议是合同的组成部分。</w:t>
      </w:r>
    </w:p>
    <w:p w14:paraId="06787221">
      <w:r>
        <w:rPr>
          <w:rFonts w:hint="eastAsia"/>
        </w:rPr>
        <w:t>发包人：　　　　　　　　　(盖单位章)　　　承包人：　　　　　　　　　　　　　(盖单位章)</w:t>
      </w:r>
    </w:p>
    <w:p w14:paraId="7EBBC6CF">
      <w:r>
        <w:rPr>
          <w:rFonts w:hint="eastAsia"/>
        </w:rPr>
        <w:t>法定代表人或其委托代理人：　　　　(签字)　法定代表人或其委托代理人：　　　　　　(签字)</w:t>
      </w:r>
    </w:p>
    <w:p w14:paraId="110A4229">
      <w:r>
        <w:rPr>
          <w:rFonts w:hint="eastAsia"/>
        </w:rPr>
        <w:t>　　　　　　　　年　　月　　日　　　　　　　　　　年　　月　　日</w:t>
      </w:r>
    </w:p>
    <w:p w14:paraId="140A3112">
      <w:pPr>
        <w:rPr>
          <w:rFonts w:hint="eastAsia"/>
        </w:rPr>
      </w:pPr>
    </w:p>
    <w:p w14:paraId="23E6AB6A">
      <w:pPr>
        <w:rPr>
          <w:rFonts w:hint="eastAsia"/>
        </w:rPr>
      </w:pPr>
      <w:r>
        <w:rPr>
          <w:rFonts w:hint="eastAsia"/>
        </w:rPr>
        <w:t>附件二：</w:t>
      </w:r>
    </w:p>
    <w:p w14:paraId="1FE8398A"/>
    <w:p w14:paraId="610F84FC">
      <w:pPr>
        <w:jc w:val="center"/>
        <w:rPr>
          <w:rFonts w:hint="eastAsia" w:ascii="黑体" w:hAnsi="黑体" w:eastAsia="黑体"/>
          <w:b/>
          <w:sz w:val="32"/>
          <w:szCs w:val="32"/>
        </w:rPr>
      </w:pPr>
      <w:bookmarkStart w:id="48" w:name="第04章合同条款及格式03附件02"/>
      <w:bookmarkEnd w:id="48"/>
      <w:r>
        <w:rPr>
          <w:rFonts w:hint="eastAsia" w:ascii="黑体" w:hAnsi="黑体" w:eastAsia="黑体"/>
          <w:b/>
          <w:sz w:val="32"/>
          <w:szCs w:val="32"/>
        </w:rPr>
        <w:t>履约担保</w:t>
      </w:r>
    </w:p>
    <w:p w14:paraId="417608DB">
      <w:pPr>
        <w:jc w:val="left"/>
      </w:pPr>
    </w:p>
    <w:p w14:paraId="31E09365">
      <w:r>
        <w:rPr>
          <w:rFonts w:hint="eastAsia"/>
          <w:u w:val="single"/>
        </w:rPr>
        <w:t>　　　　</w:t>
      </w:r>
      <w:r>
        <w:rPr>
          <w:rFonts w:hint="eastAsia"/>
        </w:rPr>
        <w:t>　　　　　　　(发包人名称)：</w:t>
      </w:r>
    </w:p>
    <w:p w14:paraId="1D7D8971">
      <w:r>
        <w:rPr>
          <w:rFonts w:hint="eastAsia"/>
        </w:rPr>
        <w:t>　　鉴于　　　　(发包人名称，以下简称“发包人”)已接受　　　　(承包人名称，以下简称“承包人”)于　　　　年　　月　　日递交的　　　　　(项目名称)　　　　(标段名称)的投标文件。我方愿意无条件地、不可撤销地就承包人履行与你方订立的合同，向你方提供担保。</w:t>
      </w:r>
    </w:p>
    <w:p w14:paraId="79F47966">
      <w:r>
        <w:rPr>
          <w:rFonts w:hint="eastAsia"/>
        </w:rPr>
        <w:t>　　1.担保金额人民币(大写)　　　　　　元(￥　　　　　　元)。</w:t>
      </w:r>
    </w:p>
    <w:p w14:paraId="209D826F">
      <w:r>
        <w:rPr>
          <w:rFonts w:hint="eastAsia"/>
        </w:rPr>
        <w:t>　　2.担保有效期自发包人与承包人签订的合同生效之日起至发包人签发合同工程完工证书之日止。</w:t>
      </w:r>
    </w:p>
    <w:p w14:paraId="41BC15C3">
      <w:pPr>
        <w:rPr>
          <w:rFonts w:hint="eastAsia"/>
        </w:rPr>
      </w:pPr>
      <w:r>
        <w:rPr>
          <w:rFonts w:hint="eastAsia"/>
        </w:rPr>
        <w:t>　　3.在本担保有效期内，因承包人违反合同约定的义务给你方造成经济损失时，我方在收到你方以书面形式提出的在担保金额内的赔偿要求后，无条件地在7天内予以支付。</w:t>
      </w:r>
    </w:p>
    <w:p w14:paraId="455C4669">
      <w:r>
        <w:rPr>
          <w:rFonts w:hint="eastAsia"/>
        </w:rPr>
        <w:t>　　4.发包人和承包人按《通用合同条款》第15条变更合同时，我方承担本担保规定的义务不变。</w:t>
      </w:r>
    </w:p>
    <w:p w14:paraId="4D895CDC">
      <w:r>
        <w:rPr>
          <w:rFonts w:hint="eastAsia"/>
        </w:rPr>
        <w:t>　　　　　　　　　　　　　　　　　　　　　　　　担保人：　　　　　　　　　　　(盖单位章)</w:t>
      </w:r>
    </w:p>
    <w:p w14:paraId="0887BB5B">
      <w:r>
        <w:rPr>
          <w:rFonts w:hint="eastAsia"/>
        </w:rPr>
        <w:t>　　　　　　　　　　　　　　　　　　　　　　　　法定代表人或其委托代理人：　　　　(签字)</w:t>
      </w:r>
    </w:p>
    <w:p w14:paraId="2DF3A70D">
      <w:r>
        <w:rPr>
          <w:rFonts w:hint="eastAsia"/>
        </w:rPr>
        <w:t>　　　　　　　　　　　　　　　　　　　　　　　　地址：　　　　　　　　　　　　　　　　　</w:t>
      </w:r>
    </w:p>
    <w:p w14:paraId="12E65B76">
      <w:r>
        <w:rPr>
          <w:rFonts w:hint="eastAsia"/>
        </w:rPr>
        <w:t>　　　　　　　　　　　　　　　　　　　　　　　　邮政编码：　　　　　　　　　　　　　　　</w:t>
      </w:r>
    </w:p>
    <w:p w14:paraId="484FBADB">
      <w:r>
        <w:rPr>
          <w:rFonts w:hint="eastAsia"/>
        </w:rPr>
        <w:t>　　　　　　　　　　　　　　　　　　　　　　　　电话：　　　　　　　　　　　　　　　　　</w:t>
      </w:r>
    </w:p>
    <w:p w14:paraId="1B1642BF">
      <w:r>
        <w:rPr>
          <w:rFonts w:hint="eastAsia"/>
        </w:rPr>
        <w:t>　　　　　　　　　　　　　　　　　　　　　　　　传真：　　　　　　　　　　　　　　　　　</w:t>
      </w:r>
    </w:p>
    <w:p w14:paraId="08F95E31">
      <w:r>
        <w:rPr>
          <w:rFonts w:hint="eastAsia"/>
        </w:rPr>
        <w:t>　　　　　　　　　　　　　　　　　　　　　　　　　　　　　　　年　　月　　日</w:t>
      </w:r>
    </w:p>
    <w:p w14:paraId="18CA3C91">
      <w:pPr>
        <w:rPr>
          <w:rFonts w:hint="eastAsia"/>
        </w:rPr>
      </w:pPr>
    </w:p>
    <w:p w14:paraId="44D318A9">
      <w:r>
        <w:rPr>
          <w:rFonts w:hint="eastAsia"/>
        </w:rPr>
        <w:t>　　注：委托代理人应附授权委托书。</w:t>
      </w:r>
    </w:p>
    <w:p w14:paraId="5C94A68E">
      <w:pPr>
        <w:rPr>
          <w:rFonts w:hint="eastAsia"/>
        </w:rPr>
      </w:pPr>
    </w:p>
    <w:p w14:paraId="64A50A8B">
      <w:pPr>
        <w:rPr>
          <w:rFonts w:hint="eastAsia"/>
        </w:rPr>
      </w:pPr>
    </w:p>
    <w:p w14:paraId="3C650387">
      <w:pPr>
        <w:rPr>
          <w:rFonts w:hint="eastAsia"/>
        </w:rPr>
      </w:pPr>
      <w:r>
        <w:rPr>
          <w:rFonts w:hint="eastAsia"/>
        </w:rPr>
        <w:t>附件三：</w:t>
      </w:r>
    </w:p>
    <w:p w14:paraId="4B0B4924"/>
    <w:p w14:paraId="585F6AD8">
      <w:pPr>
        <w:jc w:val="center"/>
        <w:rPr>
          <w:rFonts w:ascii="黑体" w:hAnsi="黑体" w:eastAsia="黑体"/>
          <w:b/>
          <w:sz w:val="32"/>
          <w:szCs w:val="32"/>
        </w:rPr>
      </w:pPr>
      <w:bookmarkStart w:id="49" w:name="第04章合同条款及格式03附件03"/>
      <w:bookmarkEnd w:id="49"/>
      <w:r>
        <w:rPr>
          <w:rFonts w:hint="eastAsia" w:ascii="黑体" w:hAnsi="黑体" w:eastAsia="黑体"/>
          <w:b/>
          <w:sz w:val="32"/>
          <w:szCs w:val="32"/>
        </w:rPr>
        <w:t>预付款担保函</w:t>
      </w:r>
    </w:p>
    <w:p w14:paraId="2B200145">
      <w:r>
        <w:rPr>
          <w:rFonts w:hint="eastAsia"/>
        </w:rPr>
        <w:t>　　　　　　　　　　(发包人名称)：</w:t>
      </w:r>
    </w:p>
    <w:p w14:paraId="51ED4D5E">
      <w:r>
        <w:rPr>
          <w:rFonts w:hint="eastAsia"/>
        </w:rPr>
        <w:t>　　根据　　　　　　　(承包人名称，以下简称“承包人”)与　　　　　(发包人名称，以下简称“发包人”)于　　　　年　　月　　日签订的　　　　　　　(项目名称)　　　　　　　(标段名称)合同协议书，承包人按约定的金额向发包人提交一份预付款担保，即有权得到发包人支付相等金额的预付款。我方愿意就你方提供给承包人的预付款提供担保。</w:t>
      </w:r>
    </w:p>
    <w:p w14:paraId="79B6AA02">
      <w:r>
        <w:rPr>
          <w:rFonts w:hint="eastAsia"/>
        </w:rPr>
        <w:t>　　1.担保金额人民币(大写)　　　　　元(￥　　　　元)。</w:t>
      </w:r>
    </w:p>
    <w:p w14:paraId="7B42508D">
      <w:r>
        <w:rPr>
          <w:rFonts w:hint="eastAsia"/>
        </w:rPr>
        <w:t>　　2.担保有效期自预付款支付给承包人起生效，至发包人签发的进度付款证书说明预付款已完全扣清止。</w:t>
      </w:r>
    </w:p>
    <w:p w14:paraId="7BE51A9E">
      <w:r>
        <w:rPr>
          <w:rFonts w:hint="eastAsia"/>
        </w:rPr>
        <w:t>　　3.在本担保有效期内，因承包人违反合同约定的义务而要求收回预付款时，我方在收到你方的书面通知后，无条件地在7天内予以支付。但本担保的担保金额，在任何时候不应超过预付款金额减去发包人按合同约定在向承包人签发的进度付款证书中已扣回的金额。</w:t>
      </w:r>
    </w:p>
    <w:p w14:paraId="382DAB34">
      <w:r>
        <w:rPr>
          <w:rFonts w:hint="eastAsia"/>
        </w:rPr>
        <w:t>　　4.发包人和承包人按《通用合同条款》第15条变更合同时，我方承担本担保规定的义务不变。</w:t>
      </w:r>
    </w:p>
    <w:p w14:paraId="2208CAFF">
      <w:r>
        <w:rPr>
          <w:rFonts w:hint="eastAsia"/>
        </w:rPr>
        <w:t>　　　　　　　　　　　　　　　　　　　　　　担保人：　　　　　　　　　　　　(盖单位章)</w:t>
      </w:r>
    </w:p>
    <w:p w14:paraId="05487D84">
      <w:r>
        <w:rPr>
          <w:rFonts w:hint="eastAsia"/>
        </w:rPr>
        <w:t>　　　　　　　　　　　　　　　　　　　　　　法定代表人或其委托代理人：　　　　　(签字)</w:t>
      </w:r>
    </w:p>
    <w:p w14:paraId="4F31A13C">
      <w:r>
        <w:rPr>
          <w:rFonts w:hint="eastAsia"/>
        </w:rPr>
        <w:t>　　　　　　　　　　　　　　　　　　　　　　地址：　　　　　　　　　　　　　　　　　</w:t>
      </w:r>
    </w:p>
    <w:p w14:paraId="0534252F">
      <w:r>
        <w:rPr>
          <w:rFonts w:hint="eastAsia"/>
        </w:rPr>
        <w:t>　　　　　　　　　　　　　　　　　　　　　　邮政编码：　　　　　　　　　　　　　　　</w:t>
      </w:r>
    </w:p>
    <w:p w14:paraId="4E7182D5">
      <w:r>
        <w:rPr>
          <w:rFonts w:hint="eastAsia"/>
        </w:rPr>
        <w:t>　　　　　　　　　　　　　　　　　　　　　　电话：　　　　　　　　　　　　　　　　　</w:t>
      </w:r>
    </w:p>
    <w:p w14:paraId="0770DFA6">
      <w:r>
        <w:rPr>
          <w:rFonts w:hint="eastAsia"/>
        </w:rPr>
        <w:t>　　　　　　　　　　　　　　　　　　　　　　传真：　　　　　　　　　　　　　　　　　</w:t>
      </w:r>
    </w:p>
    <w:p w14:paraId="757E0F78">
      <w:r>
        <w:rPr>
          <w:rFonts w:hint="eastAsia"/>
        </w:rPr>
        <w:t>　　　　　　　　　　　　　　　　　　　　　　　　　　　年　　月　　日</w:t>
      </w:r>
    </w:p>
    <w:p w14:paraId="65B3A65F">
      <w:pPr>
        <w:rPr>
          <w:rFonts w:hint="eastAsia"/>
        </w:rPr>
      </w:pPr>
    </w:p>
    <w:p w14:paraId="10EC66B5">
      <w:r>
        <w:rPr>
          <w:rFonts w:hint="eastAsia"/>
        </w:rPr>
        <w:t>　　注：委托代理人应附授权委托书。</w:t>
      </w:r>
    </w:p>
    <w:p w14:paraId="41294FAB">
      <w:pPr>
        <w:rPr>
          <w:rFonts w:hint="eastAsia"/>
        </w:rPr>
      </w:pPr>
    </w:p>
    <w:p w14:paraId="4B2870B5">
      <w:pPr>
        <w:rPr>
          <w:rFonts w:hint="eastAsia"/>
        </w:rPr>
      </w:pPr>
      <w:r>
        <w:br w:type="page"/>
      </w:r>
    </w:p>
    <w:p w14:paraId="061161CF">
      <w:pPr>
        <w:jc w:val="center"/>
        <w:rPr>
          <w:rFonts w:eastAsia="黑体"/>
          <w:b/>
          <w:sz w:val="32"/>
          <w:szCs w:val="32"/>
        </w:rPr>
      </w:pPr>
      <w:bookmarkStart w:id="50" w:name="第05章工程量清单"/>
      <w:bookmarkEnd w:id="50"/>
      <w:r>
        <w:rPr>
          <w:rFonts w:hAnsi="黑体" w:eastAsia="黑体"/>
          <w:b/>
          <w:sz w:val="32"/>
          <w:szCs w:val="32"/>
        </w:rPr>
        <w:t>第</w:t>
      </w:r>
      <w:r>
        <w:rPr>
          <w:rFonts w:eastAsia="黑体"/>
          <w:b/>
          <w:sz w:val="32"/>
          <w:szCs w:val="32"/>
        </w:rPr>
        <w:t>5</w:t>
      </w:r>
      <w:r>
        <w:rPr>
          <w:rFonts w:hAnsi="黑体" w:eastAsia="黑体"/>
          <w:b/>
          <w:sz w:val="32"/>
          <w:szCs w:val="32"/>
        </w:rPr>
        <w:t>章　工程量清单</w:t>
      </w:r>
    </w:p>
    <w:p w14:paraId="4A423DD0"/>
    <w:p w14:paraId="1E056EDB">
      <w:pPr>
        <w:rPr>
          <w:b/>
        </w:rPr>
      </w:pPr>
      <w:bookmarkStart w:id="51" w:name="第05章工程量清单01"/>
      <w:bookmarkEnd w:id="51"/>
      <w:r>
        <w:rPr>
          <w:rFonts w:hint="eastAsia"/>
          <w:b/>
        </w:rPr>
        <w:t>1　工程量清单说明</w:t>
      </w:r>
    </w:p>
    <w:p w14:paraId="42FCC7B1">
      <w:r>
        <w:rPr>
          <w:rFonts w:hint="eastAsia"/>
        </w:rPr>
        <w:t>　1.1　工程量清单应与招标文件中的投标人须知、通用合同条款、专用合同条款、技术标准和要求(合同技术条款)、图纸及《水利工程工程量清单计价规范》(GB50501-2007)等一起阅读和理解。</w:t>
      </w:r>
    </w:p>
    <w:p w14:paraId="1565A0E0">
      <w:r>
        <w:rPr>
          <w:rFonts w:hint="eastAsia"/>
        </w:rPr>
        <w:t>　1.2　工程量清单仅是投标人投标报价的共同基础。除另有约定外，工程量清单中的工程量是根据招标设计图纸按《水利工程工程量清单计价规范》(GB50501—2007)计算规则计算的用于投标报价的估算工程量，不作为最终结算工程量。最终结算工程量是承包人实际完成并符合技术标准和要求(合同技术条款)和《水利工程工程量清单计价规范》(GB50501—2007)计算规则等规定，按施工图纸计算的有效工程量。</w:t>
      </w:r>
    </w:p>
    <w:p w14:paraId="39B593F4">
      <w:r>
        <w:rPr>
          <w:rFonts w:hint="eastAsia"/>
        </w:rPr>
        <w:t>　1.3　工程量清单中各项目的工作内容和要求应符合相关技术标准和要求(合同技术条款)以及《水利工程工程量清单计价规范》(GB50501—2007)的规定。</w:t>
      </w:r>
    </w:p>
    <w:p w14:paraId="7BFC93E6">
      <w:r>
        <w:rPr>
          <w:rFonts w:hint="eastAsia"/>
        </w:rPr>
        <w:t>　1.4　工程价款的支付遵循合同条款的约定。</w:t>
      </w:r>
    </w:p>
    <w:p w14:paraId="52AF8636">
      <w:pPr>
        <w:rPr>
          <w:b/>
        </w:rPr>
      </w:pPr>
      <w:bookmarkStart w:id="52" w:name="第05章工程量清单02"/>
      <w:bookmarkEnd w:id="52"/>
      <w:r>
        <w:rPr>
          <w:rFonts w:hint="eastAsia"/>
          <w:b/>
        </w:rPr>
        <w:t>2　投标报价说明</w:t>
      </w:r>
    </w:p>
    <w:p w14:paraId="37BFED3A">
      <w:r>
        <w:rPr>
          <w:rFonts w:hint="eastAsia"/>
        </w:rPr>
        <w:t>　2.1　工程量清单报价表组成</w:t>
      </w:r>
    </w:p>
    <w:p w14:paraId="36712269">
      <w:r>
        <w:rPr>
          <w:rFonts w:hint="eastAsia"/>
        </w:rPr>
        <w:t>　　工程量清单报价表由以下表格组成：</w:t>
      </w:r>
    </w:p>
    <w:p w14:paraId="25CF76C4">
      <w:r>
        <w:rPr>
          <w:rFonts w:hint="eastAsia"/>
        </w:rPr>
        <w:t>　　1.投标总价。</w:t>
      </w:r>
    </w:p>
    <w:p w14:paraId="7FD0F70B">
      <w:r>
        <w:rPr>
          <w:rFonts w:hint="eastAsia"/>
        </w:rPr>
        <w:t>　　2.工程项目总价表。</w:t>
      </w:r>
    </w:p>
    <w:p w14:paraId="5DB298DB">
      <w:r>
        <w:rPr>
          <w:rFonts w:hint="eastAsia"/>
        </w:rPr>
        <w:t>　　3.分类分项工程量清单计价表。</w:t>
      </w:r>
    </w:p>
    <w:p w14:paraId="4ADC0856">
      <w:r>
        <w:rPr>
          <w:rFonts w:hint="eastAsia"/>
        </w:rPr>
        <w:t>　　4.措施项目清单计价表。</w:t>
      </w:r>
    </w:p>
    <w:p w14:paraId="67FF909F">
      <w:r>
        <w:rPr>
          <w:rFonts w:hint="eastAsia"/>
        </w:rPr>
        <w:t>　　5.其它项目清单计价表。</w:t>
      </w:r>
    </w:p>
    <w:p w14:paraId="29BDA6BA">
      <w:r>
        <w:rPr>
          <w:rFonts w:hint="eastAsia"/>
        </w:rPr>
        <w:t>　　6.计日工项目计价表。</w:t>
      </w:r>
    </w:p>
    <w:p w14:paraId="33F168D9">
      <w:r>
        <w:rPr>
          <w:rFonts w:hint="eastAsia"/>
        </w:rPr>
        <w:t>　　7.工程单价汇总表。</w:t>
      </w:r>
    </w:p>
    <w:p w14:paraId="4C2E5E77">
      <w:r>
        <w:rPr>
          <w:rFonts w:hint="eastAsia"/>
        </w:rPr>
        <w:t>　　8.工程单价费(税)率汇总表。</w:t>
      </w:r>
    </w:p>
    <w:p w14:paraId="329C9A19">
      <w:r>
        <w:rPr>
          <w:rFonts w:hint="eastAsia"/>
        </w:rPr>
        <w:t>　　9.投标人生产电、风、水、砂石基础单价汇总表。</w:t>
      </w:r>
    </w:p>
    <w:p w14:paraId="2B7467E7">
      <w:r>
        <w:rPr>
          <w:rFonts w:hint="eastAsia"/>
        </w:rPr>
        <w:t>　　10.投标人生产混凝土配合比材料费表。</w:t>
      </w:r>
    </w:p>
    <w:p w14:paraId="49B15A51">
      <w:r>
        <w:rPr>
          <w:rFonts w:hint="eastAsia"/>
        </w:rPr>
        <w:t>　　11.招标人供应材料价格汇总表(若招标人提供)。</w:t>
      </w:r>
    </w:p>
    <w:p w14:paraId="32655C3F">
      <w:r>
        <w:rPr>
          <w:rFonts w:hint="eastAsia"/>
        </w:rPr>
        <w:t>　　12.投标人自行采购主要材料预算价格汇总表。</w:t>
      </w:r>
    </w:p>
    <w:p w14:paraId="3FB71F1D">
      <w:r>
        <w:rPr>
          <w:rFonts w:hint="eastAsia"/>
        </w:rPr>
        <w:t>　　13.招标人提供施工机械台时(班)费汇总表(若招标人提供)。</w:t>
      </w:r>
    </w:p>
    <w:p w14:paraId="13B18C38">
      <w:r>
        <w:rPr>
          <w:rFonts w:hint="eastAsia"/>
        </w:rPr>
        <w:t>　　14.投标人自备施工机械台时(班)费汇总表。</w:t>
      </w:r>
    </w:p>
    <w:p w14:paraId="51CAE329">
      <w:r>
        <w:rPr>
          <w:rFonts w:hint="eastAsia"/>
        </w:rPr>
        <w:t>　　15.总价项目分类分项工程分解表。</w:t>
      </w:r>
    </w:p>
    <w:p w14:paraId="1FE15221">
      <w:r>
        <w:rPr>
          <w:rFonts w:hint="eastAsia"/>
        </w:rPr>
        <w:t>　　16.工程单价计算表。</w:t>
      </w:r>
    </w:p>
    <w:p w14:paraId="2215C3A8">
      <w:r>
        <w:rPr>
          <w:rFonts w:hint="eastAsia"/>
        </w:rPr>
        <w:t>　　17.人工费单价汇总表。</w:t>
      </w:r>
    </w:p>
    <w:p w14:paraId="4342D706">
      <w:r>
        <w:rPr>
          <w:rFonts w:hint="eastAsia"/>
        </w:rPr>
        <w:t>　2.2　工程量清单报价表填写规定</w:t>
      </w:r>
    </w:p>
    <w:p w14:paraId="72D2B6B4">
      <w:r>
        <w:rPr>
          <w:rFonts w:hint="eastAsia"/>
        </w:rPr>
        <w:t>　　1.除招标文件另有规定外，投标人不得随意增加、删除或涂改招标文件工程量清单中的任何内容。工程量清单中列明的所有需要填写的单价和合价，投标人均应填写；未填写的单价和合价，视为已包括在工程量清单的其它单价和合价中。</w:t>
      </w:r>
    </w:p>
    <w:p w14:paraId="7A34109A">
      <w:r>
        <w:rPr>
          <w:rFonts w:hint="eastAsia"/>
        </w:rPr>
        <w:t>　　2.工程量清单中的工程单价是完成工程量清单中一个质量合格的规定计量单位项目所需的直接费(包括人工费、材料费、机械使用费和季节、夜间、高原、风沙等原因增加的直接费)、施工管理费、企业利润和税金，并考虑到风险因素。投标人应根据规定的工程单价组成内容，按招标文件和《水利工程工程量清单计价规范》(GB50501—2007)附录A和附录B中的“主要工作内容”确定工程单价。除另有规定外，对有效工程量以外的超挖、超填工程量，施工附加量，加工、运输损耗量等，所消耗的人工、材料和机械费用，均应摊入相应有效工程量的工程单价内。</w:t>
      </w:r>
    </w:p>
    <w:p w14:paraId="2346510F">
      <w:r>
        <w:rPr>
          <w:rFonts w:hint="eastAsia"/>
        </w:rPr>
        <w:t>　　3.投标金额(价格)均应以人民币表示。</w:t>
      </w:r>
    </w:p>
    <w:p w14:paraId="3F93597B">
      <w:r>
        <w:rPr>
          <w:rFonts w:hint="eastAsia"/>
        </w:rPr>
        <w:t>　　4.投标总价应按工程项目总价表合计金额填写。</w:t>
      </w:r>
    </w:p>
    <w:p w14:paraId="50E35CF4">
      <w:r>
        <w:rPr>
          <w:rFonts w:hint="eastAsia"/>
        </w:rPr>
        <w:t>　　5.工程项目总价表中一级项目名称按招标文件工程项目总价表中的相应名称填写，并按分类分项工程量清单计价表中相应项目合计金额填写。</w:t>
      </w:r>
    </w:p>
    <w:p w14:paraId="369CCCEF">
      <w:r>
        <w:rPr>
          <w:rFonts w:hint="eastAsia"/>
        </w:rPr>
        <w:t>　　6.分类分项工程量清单计价表中的序号、项目编码、项目名称、计量单位、工程数量和合同技术条款章节号，按招标文件分类分项工程量清单计价表中的相应内容填写，并填写相应项目的单价和合价。</w:t>
      </w:r>
    </w:p>
    <w:p w14:paraId="51D8CEB3">
      <w:r>
        <w:rPr>
          <w:rFonts w:hint="eastAsia"/>
        </w:rPr>
        <w:t>　　7.措施项目清单计价表中的序号、项目名称按招标文件措施项目清单计价表中的相应内容填写，并填写相应措施项目的金额和合计金额。</w:t>
      </w:r>
    </w:p>
    <w:p w14:paraId="5474ECBA">
      <w:r>
        <w:rPr>
          <w:rFonts w:hint="eastAsia"/>
        </w:rPr>
        <w:t>　　8.其它项目清单计价表中的序号、项目名称、金额，按招标文件其它项目清单计价表中的相应内容填写。</w:t>
      </w:r>
    </w:p>
    <w:p w14:paraId="3EE11359">
      <w:r>
        <w:rPr>
          <w:rFonts w:hint="eastAsia"/>
        </w:rPr>
        <w:t>　　9.计日工项目计价表的序号、人工、材料、机械的名称、型号规格以及计量单位，按招标文件计日工项目计价表中的相应内容填写，并填写相应项目单价。</w:t>
      </w:r>
    </w:p>
    <w:p w14:paraId="0F35B767">
      <w:r>
        <w:rPr>
          <w:rFonts w:hint="eastAsia"/>
        </w:rPr>
        <w:t>　　10.辅助表格填写：</w:t>
      </w:r>
    </w:p>
    <w:p w14:paraId="68E26D65">
      <w:r>
        <w:rPr>
          <w:rFonts w:hint="eastAsia"/>
        </w:rPr>
        <w:t>　　(1)工程单价汇总表，按工程单价计算表中的相应内容、价格(费率)填写。</w:t>
      </w:r>
    </w:p>
    <w:p w14:paraId="50AF8197">
      <w:r>
        <w:rPr>
          <w:rFonts w:hint="eastAsia"/>
        </w:rPr>
        <w:t>　　(2)工程单价费(税)率汇总表，按工程单价计算表中的相应内容、费(税)率填写。</w:t>
      </w:r>
    </w:p>
    <w:p w14:paraId="1C751056">
      <w:r>
        <w:rPr>
          <w:rFonts w:hint="eastAsia"/>
        </w:rPr>
        <w:t>　　(3)投标人生产电、风、水、砂石基础单价汇总表，按基础单价分析计算成果的相应内容、价格填写，并附相应基础单价的分析计算书。</w:t>
      </w:r>
    </w:p>
    <w:p w14:paraId="60418E9E">
      <w:r>
        <w:rPr>
          <w:rFonts w:hint="eastAsia"/>
        </w:rPr>
        <w:t>　　(4)投标人生产混凝土配合比材料费表，按表中工程部位、混凝土强度等级(附抗渗、抗冻等级)、水泥强度等级、级配、水灰比、相应材料用量和单价填写，填写的单价必须与工程单价计算表中采用的相应混凝土材料单价一致。</w:t>
      </w:r>
    </w:p>
    <w:p w14:paraId="144D742E">
      <w:r>
        <w:rPr>
          <w:rFonts w:hint="eastAsia"/>
        </w:rPr>
        <w:t>　　(5)招标人供应材料价格汇总表，按招标人供应的材料名称、型号规格、计量单位和供应价填写，并填写经分析计算后的相应材料预算价格，填写的预算价格必须与工程单价计算表中采用的相应材料预算价格一致(若招标人提供)。</w:t>
      </w:r>
    </w:p>
    <w:p w14:paraId="1F81B689">
      <w:r>
        <w:rPr>
          <w:rFonts w:hint="eastAsia"/>
        </w:rPr>
        <w:t>　　(6)投标人自行采购主要材料预算价格汇总表，按表中的序号、材料名称、型号规格、计量单位和预算价填写，填写的预算价必须与工程单价计算表中采用的相应材料预算价格一致。</w:t>
      </w:r>
    </w:p>
    <w:p w14:paraId="4F32D2BC">
      <w:r>
        <w:rPr>
          <w:rFonts w:hint="eastAsia"/>
        </w:rPr>
        <w:t>　　(7)招标人提供施工机械台时(班)费汇总表，按招标人提供的机械名称、型号规格和招标人收取的台时(班)折旧费填写；投标人填写的台时(班)费用合计金额必须与工程单价计算表中相应的施工机械台时(班)费单价一致(若招标人提供)。</w:t>
      </w:r>
    </w:p>
    <w:p w14:paraId="52B1B8E2">
      <w:r>
        <w:rPr>
          <w:rFonts w:hint="eastAsia"/>
        </w:rPr>
        <w:t>　　(8)投标人自备施工机械台时(班)费汇总表，按表中的序号、机械名称、型号规格、一类费用和二类费用填写，填写的台时(班)费合计金额必须与工程单价计算表中相应的施工机械台时(班)费单价一致。</w:t>
      </w:r>
    </w:p>
    <w:p w14:paraId="34BBED87">
      <w:r>
        <w:rPr>
          <w:rFonts w:hint="eastAsia"/>
        </w:rPr>
        <w:t>　　(9)投标人应参照分类分项工程量清单计价表格式编制总价项目分类分项工程分解表，每个总价项目分类分项工程一份。</w:t>
      </w:r>
    </w:p>
    <w:p w14:paraId="53183992">
      <w:r>
        <w:rPr>
          <w:rFonts w:hint="eastAsia"/>
        </w:rPr>
        <w:t>　　(10)投标金额大于或等于投标总标价万分之五的工程项目，必须编报工程单价计算表。工程单价计算表，按表中的施工方法、序号、名称、型号规格、计量单位、数量、单价、合价填写，填写的人工、材料和机械等基础价格，必须与人工费价汇总表、基础材料单价汇总表、主要材料预算价格汇总表及施工机械台时(班)费汇总表中的单价相一致，填写的施工管理费、企业利润和税金等费(税)率必须与工程单价费(税)率汇总表中的费(税)率相一致。</w:t>
      </w:r>
    </w:p>
    <w:p w14:paraId="4AD43001">
      <w:r>
        <w:rPr>
          <w:rFonts w:hint="eastAsia"/>
        </w:rPr>
        <w:t>　　(11)人工费单价汇总表应按人工费单价计算表的内容、价格填写，并附相应的人工费单价计算表。</w:t>
      </w:r>
    </w:p>
    <w:p w14:paraId="363589BA">
      <w:bookmarkStart w:id="53" w:name="_GoBack"/>
      <w:bookmarkEnd w:id="5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BA6A54"/>
    <w:rsid w:val="23BA6A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0</Words>
  <Characters>0</Characters>
  <Lines>0</Lines>
  <Paragraphs>0</Paragraphs>
  <TotalTime>0</TotalTime>
  <ScaleCrop>false</ScaleCrop>
  <LinksUpToDate>false</LinksUpToDate>
  <CharactersWithSpaces>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2026-04-03T09:47:00Z</dcterms:created>
  <dc:creator>Administrator</dc:creator>
  <cp:lastModifiedBy>Administrator</cp:lastModifiedBy>
  <dcterms:modified xsi:type="dcterms:W3CDTF">2026-04-03T09:47:29Z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F604474580BF4D5F87E946D3AF8AEC59_11</vt:lpwstr>
  </property>
  <property fmtid="{D5CDD505-2E9C-101B-9397-08002B2CF9AE}" pid="4" name="KSOTemplateDocerSaveRecord">
    <vt:lpwstr>eyJoZGlkIjoiYTk4NjM4ODdhMDg1MmEwNDAxMTc1ZDM3ZmNlMDZmOTYiLCJ1c2VySWQiOiIyMzA4NDQ4ODUifQ==</vt:lpwstr>
  </property>
</Properties>
</file>