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版本号：ZXGC-2026-040120260422001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2026年镇巴县简池镇李塘村农事服务中心建设项目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ZXGC-2026-0401</w:t>
      </w:r>
      <w:r>
        <w:br/>
      </w:r>
      <w:r>
        <w:br/>
      </w:r>
      <w:r>
        <w:br/>
      </w:r>
    </w:p>
    <w:p>
      <w:pPr>
        <w:pStyle w:val="null3"/>
        <w:jc w:val="center"/>
        <w:outlineLvl w:val="2"/>
      </w:pPr>
      <w:r>
        <w:rPr>
          <w:rFonts w:ascii="仿宋_GB2312" w:hAnsi="仿宋_GB2312" w:cs="仿宋_GB2312" w:eastAsia="仿宋_GB2312"/>
          <w:sz w:val="28"/>
          <w:b/>
        </w:rPr>
        <w:t>镇巴县简池镇人民政府</w:t>
      </w:r>
    </w:p>
    <w:p>
      <w:pPr>
        <w:pStyle w:val="null3"/>
        <w:jc w:val="center"/>
        <w:outlineLvl w:val="2"/>
      </w:pPr>
      <w:r>
        <w:rPr>
          <w:rFonts w:ascii="仿宋_GB2312" w:hAnsi="仿宋_GB2312" w:cs="仿宋_GB2312" w:eastAsia="仿宋_GB2312"/>
          <w:sz w:val="28"/>
          <w:b/>
        </w:rPr>
        <w:t>陕西众欣共创工程项目管理有限公司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陕西众欣共创工程项目管理有限公司</w:t>
      </w:r>
      <w:r>
        <w:rPr>
          <w:rFonts w:ascii="仿宋_GB2312" w:hAnsi="仿宋_GB2312" w:cs="仿宋_GB2312" w:eastAsia="仿宋_GB2312"/>
        </w:rPr>
        <w:t>（以下简称“代理机构”）受</w:t>
      </w:r>
      <w:r>
        <w:rPr>
          <w:rFonts w:ascii="仿宋_GB2312" w:hAnsi="仿宋_GB2312" w:cs="仿宋_GB2312" w:eastAsia="仿宋_GB2312"/>
        </w:rPr>
        <w:t>镇巴县简池镇人民政府</w:t>
      </w:r>
      <w:r>
        <w:rPr>
          <w:rFonts w:ascii="仿宋_GB2312" w:hAnsi="仿宋_GB2312" w:cs="仿宋_GB2312" w:eastAsia="仿宋_GB2312"/>
        </w:rPr>
        <w:t>委托，拟对</w:t>
      </w:r>
      <w:r>
        <w:rPr>
          <w:rFonts w:ascii="仿宋_GB2312" w:hAnsi="仿宋_GB2312" w:cs="仿宋_GB2312" w:eastAsia="仿宋_GB2312"/>
        </w:rPr>
        <w:t>2026年镇巴县简池镇李塘村农事服务中心建设项目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ZXGC-2026-0401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2026年镇巴县简池镇李塘村农事服务中心建设项目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新建购置履带式旋耕机2台；联合收割机割台一套；育秧生产线1条；乘坐式6行插秧机一台。（详见采购清单）</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采购包1（2026年镇巴县简池镇李塘村农事服务中心建设项目）：属于专门面向中小企业采购。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或授权委托书：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p>
      <w:pPr>
        <w:pStyle w:val="null3"/>
      </w:pPr>
      <w:r>
        <w:rPr>
          <w:rFonts w:ascii="仿宋_GB2312" w:hAnsi="仿宋_GB2312" w:cs="仿宋_GB2312" w:eastAsia="仿宋_GB2312"/>
        </w:rPr>
        <w:t>3、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非联合体投标声明及无关联关系：本项目不接受联合体投标；单位负责人为同一人或者存在控股、管理关系的不同单位，不得参加同一项目的响应，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镇巴县简池镇人民政府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镇巴县简池镇简池社区中坝小组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镇巴县简池镇人民政府经办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13571487221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陕西众欣共创工程项目管理有限公司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陕西省西安市未央区未央路荣民时代广场第一幢3单元15层31513号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饶先生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029-81617819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0916-8641963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开户名称：陕西众欣共创工程项目管理有限公司镇巴分公司</w:t>
            </w:r>
          </w:p>
          <w:p>
            <w:pPr>
              <w:pStyle w:val="null3"/>
            </w:pPr>
            <w:r>
              <w:rPr>
                <w:rFonts w:ascii="仿宋_GB2312" w:hAnsi="仿宋_GB2312" w:cs="仿宋_GB2312" w:eastAsia="仿宋_GB2312"/>
              </w:rPr>
              <w:t>开户银行：中国农业银行股份有限公司镇巴县新街支行</w:t>
            </w:r>
          </w:p>
          <w:p>
            <w:pPr>
              <w:pStyle w:val="null3"/>
            </w:pPr>
            <w:r>
              <w:rPr>
                <w:rFonts w:ascii="仿宋_GB2312" w:hAnsi="仿宋_GB2312" w:cs="仿宋_GB2312" w:eastAsia="仿宋_GB2312"/>
              </w:rPr>
              <w:t>银行账号：26645301040011135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收费标准：参照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收取。 2、采购代理服务费的缴纳方式:在领取《成交通知书》前向采购代理机均一次性全额缴纳采购代理服务费。 3、代理服务费的具体金额后续见本项目中标（成交）结果公告。</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镇巴县简池镇人民政府</w:t>
      </w:r>
      <w:r>
        <w:rPr>
          <w:rFonts w:ascii="仿宋_GB2312" w:hAnsi="仿宋_GB2312" w:cs="仿宋_GB2312" w:eastAsia="仿宋_GB2312"/>
        </w:rPr>
        <w:t>和</w:t>
      </w:r>
      <w:r>
        <w:rPr>
          <w:rFonts w:ascii="仿宋_GB2312" w:hAnsi="仿宋_GB2312" w:cs="仿宋_GB2312" w:eastAsia="仿宋_GB2312"/>
        </w:rPr>
        <w:t>陕西众欣共创工程项目管理有限公司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镇巴县简池镇人民政府</w:t>
      </w:r>
      <w:r>
        <w:rPr>
          <w:rFonts w:ascii="仿宋_GB2312" w:hAnsi="仿宋_GB2312" w:cs="仿宋_GB2312" w:eastAsia="仿宋_GB2312"/>
        </w:rPr>
        <w:t>负责解释。除上述招标文件内容，其他内容由</w:t>
      </w:r>
      <w:r>
        <w:rPr>
          <w:rFonts w:ascii="仿宋_GB2312" w:hAnsi="仿宋_GB2312" w:cs="仿宋_GB2312" w:eastAsia="仿宋_GB2312"/>
        </w:rPr>
        <w:t>陕西众欣共创工程项目管理有限公司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镇巴县简池镇人民政府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陕西众欣共创工程项目管理有限公司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符合国家规定及相关标准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陕西众欣共创工程项目管理有限公司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陕西众欣共创工程项目管理有限公司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陕西众欣共创工程项目管理有限公司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联系人：饶先生</w:t>
      </w:r>
    </w:p>
    <w:p>
      <w:pPr>
        <w:pStyle w:val="null3"/>
      </w:pPr>
      <w:r>
        <w:rPr>
          <w:rFonts w:ascii="仿宋_GB2312" w:hAnsi="仿宋_GB2312" w:cs="仿宋_GB2312" w:eastAsia="仿宋_GB2312"/>
        </w:rPr>
        <w:t>联系电话：15399346888</w:t>
      </w:r>
    </w:p>
    <w:p>
      <w:pPr>
        <w:pStyle w:val="null3"/>
      </w:pPr>
      <w:r>
        <w:rPr>
          <w:rFonts w:ascii="仿宋_GB2312" w:hAnsi="仿宋_GB2312" w:cs="仿宋_GB2312" w:eastAsia="仿宋_GB2312"/>
        </w:rPr>
        <w:t>地址：镇巴县泾洋街道办庞家坝小组原水泥厂向前150米</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购置履带式旋耕机2台；联合收割机割台一套；育秧生产线1条；乘坐式6行插秧机一台。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2026年镇巴县简池镇李塘村农事服务中心建设项目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标的名称：2026年镇巴县简池镇李塘村农事服务中心建设项目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技术参数详见采购清单</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签订合同后 </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合同规定的时间内完成供货并完成安装调试</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验收合格后满3个月</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符合国家规定及相关标准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合同中约定</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乙方未全面履行合同义务或者发生违约，甲方有权终止合同，依法向乙方进行经济索赔，并报请政府采购监督管理机关依法进行相应的行政处罚。甲方违约的，应当赔偿给乙方造成的经济损失。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非联合体投标声明及无关联关系</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本项目不接受联合体投标；单位负责人为同一人或者存在控股、管理关系的不同单位，不得参加同一项目的响应，供应商需在项目电子化交易系统中按要求上传相应证明文件并进行电子签章。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分项报价表.pdf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开标一览表 标的清单 分项报价表.pdf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应符合招标文件的规定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按照招标文件要求提交了保证金</w:t>
            </w:r>
          </w:p>
        </w:tc>
        <w:tc>
          <w:tcPr>
            <w:tcW w:type="dxa" w:w="1661"/>
          </w:tcPr>
          <w:p>
            <w:pPr>
              <w:pStyle w:val="null3"/>
            </w:pPr>
            <w:r>
              <w:rPr>
                <w:rFonts w:ascii="仿宋_GB2312" w:hAnsi="仿宋_GB2312" w:cs="仿宋_GB2312" w:eastAsia="仿宋_GB2312"/>
              </w:rPr>
              <w:t>供应商认为需要补充的其他内容.pdf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投标文件有法定代表人或授权委托人的签字或盖章并加盖投标供应商公章</w:t>
            </w:r>
          </w:p>
        </w:tc>
        <w:tc>
          <w:tcPr>
            <w:tcW w:type="dxa" w:w="1661"/>
          </w:tcPr>
          <w:p>
            <w:pPr>
              <w:pStyle w:val="null3"/>
            </w:pPr>
            <w:r>
              <w:rPr>
                <w:rFonts w:ascii="仿宋_GB2312" w:hAnsi="仿宋_GB2312" w:cs="仿宋_GB2312" w:eastAsia="仿宋_GB2312"/>
              </w:rPr>
              <w:t>开标一览表 中小企业声明函 技术参数偏离表.pdf 投标方案说明书.pdf 投标函 商务条款偏差表.pdf 政府采购供应商拒绝政府采购领域商业贿赂承诺书.pdf 残疾人福利性单位声明函 供应商应提交的相关资格证明材料.pdf 标的清单 投标文件封面 监狱企业的证明文件 供应商认为需要补充的其他内容.pdf 分项报价表.pdf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法律、规章、规范性文件和招标文件规定的其他无效情形（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开标一览表 中小企业声明函 技术参数偏离表.pdf 投标方案说明书.pdf 投标函 商务条款偏差表.pdf 政府采购供应商拒绝政府采购领域商业贿赂承诺书.pdf 残疾人福利性单位声明函 供应商应提交的相关资格证明材料.pdf 标的清单 投标文件封面 监狱企业的证明文件 供应商认为需要补充的其他内容.pdf 分项报价表.pdf</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一、评审内容采购标的技术参数清楚、明确。二、赋分标准 能全部响应招标文件所有参数要求,得25分；标★项有负偏离每项扣1分,非★项负偏离一项扣0.5分，扣完为止；以技术偏离表为准。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技术参数偏离表.pdf</w:t>
            </w:r>
          </w:p>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产品供应渠道</w:t>
            </w:r>
          </w:p>
        </w:tc>
        <w:tc>
          <w:tcPr>
            <w:tcW w:type="dxa" w:w="2492"/>
          </w:tcPr>
          <w:p>
            <w:pPr>
              <w:pStyle w:val="null3"/>
            </w:pPr>
            <w:r>
              <w:rPr>
                <w:rFonts w:ascii="仿宋_GB2312" w:hAnsi="仿宋_GB2312" w:cs="仿宋_GB2312" w:eastAsia="仿宋_GB2312"/>
              </w:rPr>
              <w:t>产品供应渠道正常，无假货、水货，无不良市场反馈，检验手续合法有效、无产权纠纷，投标人提供产品渠道合法的证明文件，包括但不限于销售协议或代理协议或产品合格证等，提供所有所投产品的合法来源渠道证明文件(产品制造商授权或销售协议或代理协议等) ，本项满分5分 , 每提供一个证明文件2分。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一、评审内容：供应商针对本项目编制完善的安装调试方案，内容包含但不限于：①安装工艺及方案；②调试流程方案。二、赋分标准 1、完整性:方案内容完整全面，对上述各项内容均有描述及说明,得2分；缺1项,得1分；缺2项不得分。 2、针对性：针对性强，得2分；针对性一般，得1分；缺乏针对性，不得分。 3、可实施性:可实施性强，得2分；可实施性一般，得1分；缺乏可实施性,不得分。 4、不提供此项的，不得分。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一、评审内容：供应商针对本项目编制完善的质量保证措施方案，内容包含但不限于：①确保质量的技术组织措施；②安装、配套工程整体质量控制措施。二、赋分标准 1、完整性:方案内容完整全面，对上述各项内容均有描述及说明,得4分；缺1项,得2分；缺2项不得分。 2、针对性：针对性强，得2分；针对性一般，得1分；缺乏针对性，不得分。 3、可实施性:可实施性强，得2分；可实施性一般，得1分；缺乏可实施性,不得分。 4、不提供此项的，不得分。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安全方案</w:t>
            </w:r>
          </w:p>
        </w:tc>
        <w:tc>
          <w:tcPr>
            <w:tcW w:type="dxa" w:w="2492"/>
          </w:tcPr>
          <w:p>
            <w:pPr>
              <w:pStyle w:val="null3"/>
            </w:pPr>
            <w:r>
              <w:rPr>
                <w:rFonts w:ascii="仿宋_GB2312" w:hAnsi="仿宋_GB2312" w:cs="仿宋_GB2312" w:eastAsia="仿宋_GB2312"/>
              </w:rPr>
              <w:t>一、评审内容：供应商针对本项目编制完整的安全方案，内容包含但不限于：①安全管理制度； ②安全安装调试措施； ③安全应急预案。 二、赋分标准 1、完整性:方案内容完整全面，对上述各项内容均有描述及说明,得4分；缺1项,得2分；缺2项，得1分；缺3项，不得分。 2、针对性：针对性强，得2分；针对性一般，得1分；缺乏针对性，不得分。 3、可实施性:可实施性强，得2分；可实施性一般，得1分；缺乏可实施性,不得分。 4、不提供此项的，不得分。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进度方案</w:t>
            </w:r>
          </w:p>
        </w:tc>
        <w:tc>
          <w:tcPr>
            <w:tcW w:type="dxa" w:w="2492"/>
          </w:tcPr>
          <w:p>
            <w:pPr>
              <w:pStyle w:val="null3"/>
            </w:pPr>
            <w:r>
              <w:rPr>
                <w:rFonts w:ascii="仿宋_GB2312" w:hAnsi="仿宋_GB2312" w:cs="仿宋_GB2312" w:eastAsia="仿宋_GB2312"/>
              </w:rPr>
              <w:t>一、评审内容 供应商针对本项目编制完善的进度措施方案，内容包含但不限于：①整体进度计划方案；②整体进度计划保证与监控措施。 二、赋分标准 1、完整性:方案内容完整全面，对上述各项内容均有描述及说明,得2分；缺1项,得1分；缺2项,不得分。 2、针对性：针对性强，得2分；针对性一般，得1分；缺乏针对性，不得分。 3、可实施性:可实施性强，得2分；可实施性一般，得1分；缺乏可实施性,不得分。 4、不提供此项的，不得分。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售后承诺</w:t>
            </w:r>
          </w:p>
        </w:tc>
        <w:tc>
          <w:tcPr>
            <w:tcW w:type="dxa" w:w="2492"/>
          </w:tcPr>
          <w:p>
            <w:pPr>
              <w:pStyle w:val="null3"/>
            </w:pPr>
            <w:r>
              <w:rPr>
                <w:rFonts w:ascii="仿宋_GB2312" w:hAnsi="仿宋_GB2312" w:cs="仿宋_GB2312" w:eastAsia="仿宋_GB2312"/>
              </w:rPr>
              <w:t>一、评审内容 根据本项目的采购内容，做出切实可行的承诺，确保项目能按时按质完成，达到采购要求且能保证项目质量。包含:①项目能按时按质完成承诺；②产品保修承诺； 二、赋分标准 1、完整性:方案内容完整全面，对上述各项内容均有描述及说明,得2分；缺1项,得1分；缺2项，不得分。 2、针对性：针对性强，得2分；针对性一般，得1分；缺乏针对性，不得分。 3、可实施性:可实施性强，得2分；可实施性一般，得1分；缺乏可实施性,不得分。 4、不提供此项的，不得分。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提供近三年(2023年至今)类似项目的业绩(以合同签订之日或中标通知书落款日期为准)，每提供一个类似项目业绩得3分，最高得6分。须提供复印清晰的复印件，如因复印等问题造成无法辨识，责任由投标人自负。</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在采购预算内且满足招标文件要求且投标报价最低的投标人的价格为基准价，其价格分为30分。各投标人的价格分统一按照下列公式计算：价格分=（基准价/投标响应报价）*30* 100%。注：本项目专门面向中小企业采购，评审时不再进行价格扣除。</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分项报价表.pdf</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详见附件：分项报价表.pdf</w:t>
      </w:r>
    </w:p>
    <w:p>
      <w:pPr>
        <w:pStyle w:val="null3"/>
        <w:ind w:firstLine="960"/>
      </w:pPr>
      <w:r>
        <w:rPr>
          <w:rFonts w:ascii="仿宋_GB2312" w:hAnsi="仿宋_GB2312" w:cs="仿宋_GB2312" w:eastAsia="仿宋_GB2312"/>
        </w:rPr>
        <w:t>详见附件：技术参数偏离表.pdf</w:t>
      </w:r>
    </w:p>
    <w:p>
      <w:pPr>
        <w:pStyle w:val="null3"/>
        <w:ind w:firstLine="960"/>
      </w:pPr>
      <w:r>
        <w:rPr>
          <w:rFonts w:ascii="仿宋_GB2312" w:hAnsi="仿宋_GB2312" w:cs="仿宋_GB2312" w:eastAsia="仿宋_GB2312"/>
        </w:rPr>
        <w:t>详见附件：商务条款偏差表.pdf</w:t>
      </w:r>
    </w:p>
    <w:p>
      <w:pPr>
        <w:pStyle w:val="null3"/>
        <w:ind w:firstLine="960"/>
      </w:pPr>
      <w:r>
        <w:rPr>
          <w:rFonts w:ascii="仿宋_GB2312" w:hAnsi="仿宋_GB2312" w:cs="仿宋_GB2312" w:eastAsia="仿宋_GB2312"/>
        </w:rPr>
        <w:t>详见附件：投标方案说明书.pdf</w:t>
      </w:r>
    </w:p>
    <w:p>
      <w:pPr>
        <w:pStyle w:val="null3"/>
        <w:ind w:firstLine="960"/>
      </w:pPr>
      <w:r>
        <w:rPr>
          <w:rFonts w:ascii="仿宋_GB2312" w:hAnsi="仿宋_GB2312" w:cs="仿宋_GB2312" w:eastAsia="仿宋_GB2312"/>
        </w:rPr>
        <w:t>详见附件：政府采购供应商拒绝政府采购领域商业贿赂承诺书.pdf</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详见附件：供应商认为需要补充的其他内容.pdf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详见附件：合同模版.docx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