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版本号：ATZB-2026-050620260506002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2026年镇巴县泾洋街道办七里沟村经济合作社茶园基地轨道建设项目(二次)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ATZB-2026-0506</w:t>
      </w:r>
      <w:r>
        <w:br/>
      </w:r>
      <w:r>
        <w:br/>
      </w:r>
      <w:r>
        <w:br/>
      </w:r>
    </w:p>
    <w:p>
      <w:pPr>
        <w:pStyle w:val="null3"/>
        <w:jc w:val="center"/>
        <w:outlineLvl w:val="2"/>
      </w:pPr>
      <w:r>
        <w:rPr>
          <w:rFonts w:ascii="仿宋_GB2312" w:hAnsi="仿宋_GB2312" w:cs="仿宋_GB2312" w:eastAsia="仿宋_GB2312"/>
          <w:sz w:val="28"/>
          <w:b/>
        </w:rPr>
        <w:t>镇巴县泾洋街道办事处</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镇巴县泾洋街道办事处</w:t>
      </w:r>
      <w:r>
        <w:rPr>
          <w:rFonts w:ascii="仿宋_GB2312" w:hAnsi="仿宋_GB2312" w:cs="仿宋_GB2312" w:eastAsia="仿宋_GB2312"/>
        </w:rPr>
        <w:t>委托，拟对</w:t>
      </w:r>
      <w:r>
        <w:rPr>
          <w:rFonts w:ascii="仿宋_GB2312" w:hAnsi="仿宋_GB2312" w:cs="仿宋_GB2312" w:eastAsia="仿宋_GB2312"/>
        </w:rPr>
        <w:t>2026年镇巴县泾洋街道办七里沟村经济合作社茶园基地轨道建设项目(二次)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ATZB-2026-0506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2026年镇巴县泾洋街道办七里沟村经济合作社茶园基地轨道建设项目(二次)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新建3100米茶园运输轨道，包含2组轨道运输车，3100米轨道，配套附件及安装、调试、验收、技术培训及相关技术服务。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采购包1（2026年镇巴县泾洋街道办七里沟村经济合作社茶园基地轨道建设项目）：属于专门面向中小企业采购。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p>
      <w:pPr>
        <w:pStyle w:val="null3"/>
      </w:pPr>
      <w:r>
        <w:rPr>
          <w:rFonts w:ascii="仿宋_GB2312" w:hAnsi="仿宋_GB2312" w:cs="仿宋_GB2312" w:eastAsia="仿宋_GB2312"/>
        </w:rPr>
        <w:t>2、法定代表身份证明或授权委托书：法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p>
      <w:pPr>
        <w:pStyle w:val="null3"/>
      </w:pPr>
      <w:r>
        <w:rPr>
          <w:rFonts w:ascii="仿宋_GB2312" w:hAnsi="仿宋_GB2312" w:cs="仿宋_GB2312" w:eastAsia="仿宋_GB2312"/>
        </w:rPr>
        <w:t>3、提供汉中市政府采购供应商资格承诺函：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p>
      <w:pPr>
        <w:pStyle w:val="null3"/>
      </w:pPr>
      <w:r>
        <w:rPr>
          <w:rFonts w:ascii="仿宋_GB2312" w:hAnsi="仿宋_GB2312" w:cs="仿宋_GB2312" w:eastAsia="仿宋_GB2312"/>
        </w:rPr>
        <w:t>4、非联合体投标声明及无关联关系：本项目不接受联合体投标。单位负责人为同一人或者存在控股、管理关系的不同单位，不得参加同一项目的响应，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镇巴县泾洋街道办事处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镇巴县泾洋街道办事处泾洋桥头</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镇巴县泾洋街道办事处经办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13571659759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陕西省汉中市汉台区竹园华府天玺中心办公楼11楼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17392028539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镇巴县政府采购管理股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郝芳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13259290919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开户名称：傲唐集团有限公司镇巴分公司</w:t>
            </w:r>
          </w:p>
          <w:p>
            <w:pPr>
              <w:pStyle w:val="null3"/>
            </w:pPr>
            <w:r>
              <w:rPr>
                <w:rFonts w:ascii="仿宋_GB2312" w:hAnsi="仿宋_GB2312" w:cs="仿宋_GB2312" w:eastAsia="仿宋_GB2312"/>
              </w:rPr>
              <w:t>开户银行：中国农业银行股份有限公司镇巴县支行</w:t>
            </w:r>
          </w:p>
          <w:p>
            <w:pPr>
              <w:pStyle w:val="null3"/>
            </w:pPr>
            <w:r>
              <w:rPr>
                <w:rFonts w:ascii="仿宋_GB2312" w:hAnsi="仿宋_GB2312" w:cs="仿宋_GB2312" w:eastAsia="仿宋_GB2312"/>
              </w:rPr>
              <w:t>银行账号：26645401040015076</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时，参照国家计委2002年颁发的《招标代理服务收费管理暂行办法》(计价格〔2002〕1980号)及国家发改委2011年颁布的《国家发展改革委关于降低部分建设项目收费标准规范收费行为等有关问题的通知 》（发改价格〔2011〕534号）采用现金、转账或汇款方式缴纳。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镇巴县泾洋街道办事处</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镇巴县泾洋街道办事处</w:t>
      </w:r>
      <w:r>
        <w:rPr>
          <w:rFonts w:ascii="仿宋_GB2312" w:hAnsi="仿宋_GB2312" w:cs="仿宋_GB2312" w:eastAsia="仿宋_GB2312"/>
        </w:rPr>
        <w:t>负责解释。除上述招标文件内容，其他内容由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镇巴县泾洋街道办事处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符合国家规定及行业相关标准</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联系人：马女士</w:t>
      </w:r>
    </w:p>
    <w:p>
      <w:pPr>
        <w:pStyle w:val="null3"/>
      </w:pPr>
      <w:r>
        <w:rPr>
          <w:rFonts w:ascii="仿宋_GB2312" w:hAnsi="仿宋_GB2312" w:cs="仿宋_GB2312" w:eastAsia="仿宋_GB2312"/>
        </w:rPr>
        <w:t>联系电话：17392028539</w:t>
      </w:r>
    </w:p>
    <w:p>
      <w:pPr>
        <w:pStyle w:val="null3"/>
      </w:pPr>
      <w:r>
        <w:rPr>
          <w:rFonts w:ascii="仿宋_GB2312" w:hAnsi="仿宋_GB2312" w:cs="仿宋_GB2312" w:eastAsia="仿宋_GB2312"/>
        </w:rPr>
        <w:t>地址：陕西省汉中市镇巴县水韵广场东侧20米全顺汽贸五楼</w:t>
      </w:r>
    </w:p>
    <w:p>
      <w:pPr>
        <w:pStyle w:val="null3"/>
      </w:pPr>
      <w:r>
        <w:rPr>
          <w:rFonts w:ascii="仿宋_GB2312" w:hAnsi="仿宋_GB2312" w:cs="仿宋_GB2312" w:eastAsia="仿宋_GB2312"/>
        </w:rPr>
        <w:t>邮编：723600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新建3100米茶园运输轨道，包含2组轨道运输车，3100米轨道，配套附件及安装、调试、验收、技术培训及相关技术服务。</w:t>
      </w:r>
      <w:r>
        <w:rPr>
          <w:rFonts w:ascii="仿宋_GB2312" w:hAnsi="仿宋_GB2312" w:cs="仿宋_GB2312" w:eastAsia="仿宋_GB2312"/>
          <w:sz w:val="21"/>
          <w:b/>
        </w:rPr>
        <w:t>（具体标的名称及参数，详见技术参数表，以技术参数表的标的名称为准）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620,000.00</w:t>
      </w:r>
    </w:p>
    <w:p>
      <w:pPr>
        <w:pStyle w:val="null3"/>
      </w:pPr>
      <w:r>
        <w:rPr>
          <w:rFonts w:ascii="仿宋_GB2312" w:hAnsi="仿宋_GB2312" w:cs="仿宋_GB2312" w:eastAsia="仿宋_GB2312"/>
        </w:rPr>
        <w:t>采购包最高限价（元）: 620,000.00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2026年镇巴县泾洋街道办七里沟村经济合作社茶园基地轨道建设项目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标的名称：2026年镇巴县泾洋街道办七里沟村经济合作社茶园基地轨道建设项目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Ind w:type="dxa" w:w="90"/>
              <w:tblBorders>
                <w:top w:val="none" w:color="000000" w:sz="4"/>
                <w:left w:val="none" w:color="000000" w:sz="4"/>
                <w:bottom w:val="none" w:color="000000" w:sz="4"/>
                <w:right w:val="none" w:color="000000" w:sz="4"/>
                <w:insideH w:val="none"/>
                <w:insideV w:val="none"/>
              </w:tblBorders>
            </w:tblPr>
            <w:tblGrid>
              <w:gridCol w:w="405"/>
              <w:gridCol w:w="481"/>
              <w:gridCol w:w="413"/>
              <w:gridCol w:w="413"/>
              <w:gridCol w:w="2107"/>
            </w:tblGrid>
            <w:tr>
              <w:tc>
                <w:tcPr>
                  <w:tcW w:type="dxa" w:w="4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序号</w:t>
                  </w:r>
                </w:p>
              </w:tc>
              <w:tc>
                <w:tcPr>
                  <w:tcW w:type="dxa" w:w="4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标的名称</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color w:val="000000"/>
                    </w:rPr>
                    <w:t>数量</w:t>
                  </w:r>
                </w:p>
              </w:tc>
              <w:tc>
                <w:tcPr>
                  <w:tcW w:type="dxa" w:w="4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计量单位</w:t>
                  </w:r>
                </w:p>
              </w:tc>
              <w:tc>
                <w:tcPr>
                  <w:tcW w:type="dxa" w:w="210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主要技术参数</w:t>
                  </w: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1</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轨道运输车</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2</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2"/>
                    </w:rPr>
                    <w:t>组</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1）发动机动力系统</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发动机型式：单缸四冲程风冷汽油发动机</w:t>
                  </w:r>
                </w:p>
                <w:p>
                  <w:pPr>
                    <w:pStyle w:val="null3"/>
                    <w:jc w:val="left"/>
                  </w:pPr>
                  <w:r>
                    <w:rPr>
                      <w:rFonts w:ascii="仿宋_GB2312" w:hAnsi="仿宋_GB2312" w:cs="仿宋_GB2312" w:eastAsia="仿宋_GB2312"/>
                      <w:sz w:val="28"/>
                      <w:color w:val="000000"/>
                    </w:rPr>
                    <w:t>2. 排量：≥152cc</w:t>
                  </w:r>
                </w:p>
                <w:p>
                  <w:pPr>
                    <w:pStyle w:val="null3"/>
                    <w:jc w:val="left"/>
                  </w:pPr>
                  <w:r>
                    <w:rPr>
                      <w:rFonts w:ascii="仿宋_GB2312" w:hAnsi="仿宋_GB2312" w:cs="仿宋_GB2312" w:eastAsia="仿宋_GB2312"/>
                      <w:sz w:val="28"/>
                      <w:color w:val="000000"/>
                    </w:rPr>
                    <w:t>▲3. 额定功率：≥3.8kW</w:t>
                  </w:r>
                </w:p>
                <w:p>
                  <w:pPr>
                    <w:pStyle w:val="null3"/>
                    <w:jc w:val="left"/>
                  </w:pPr>
                  <w:r>
                    <w:rPr>
                      <w:rFonts w:ascii="仿宋_GB2312" w:hAnsi="仿宋_GB2312" w:cs="仿宋_GB2312" w:eastAsia="仿宋_GB2312"/>
                      <w:sz w:val="28"/>
                      <w:color w:val="000000"/>
                    </w:rPr>
                    <w:t>4. 启动方式：手拉反冲启动，可选配电启动</w:t>
                  </w:r>
                </w:p>
                <w:p>
                  <w:pPr>
                    <w:pStyle w:val="null3"/>
                    <w:jc w:val="left"/>
                  </w:pPr>
                  <w:r>
                    <w:rPr>
                      <w:rFonts w:ascii="仿宋_GB2312" w:hAnsi="仿宋_GB2312" w:cs="仿宋_GB2312" w:eastAsia="仿宋_GB2312"/>
                      <w:sz w:val="28"/>
                      <w:color w:val="000000"/>
                    </w:rPr>
                    <w:t>5. 油箱容积：≥3.5L</w:t>
                  </w:r>
                </w:p>
                <w:p>
                  <w:pPr>
                    <w:pStyle w:val="null3"/>
                    <w:jc w:val="left"/>
                  </w:pPr>
                  <w:r>
                    <w:rPr>
                      <w:rFonts w:ascii="仿宋_GB2312" w:hAnsi="仿宋_GB2312" w:cs="仿宋_GB2312" w:eastAsia="仿宋_GB2312"/>
                      <w:sz w:val="28"/>
                      <w:color w:val="000000"/>
                    </w:rPr>
                    <w:t>6. 连续工作时间：满载工况下≥3小时</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8"/>
                      <w:color w:val="000000"/>
                    </w:rPr>
                    <w:t>7. 排放标准：满足国内非道路移动机械通用排放要求</w:t>
                  </w:r>
                </w:p>
                <w:p>
                  <w:pPr>
                    <w:pStyle w:val="null3"/>
                    <w:jc w:val="left"/>
                  </w:pPr>
                  <w:r>
                    <w:rPr>
                      <w:rFonts w:ascii="仿宋_GB2312" w:hAnsi="仿宋_GB2312" w:cs="仿宋_GB2312" w:eastAsia="仿宋_GB2312"/>
                      <w:sz w:val="22"/>
                      <w:color w:val="000000"/>
                    </w:rPr>
                    <w:t>（</w:t>
                  </w:r>
                  <w:r>
                    <w:rPr>
                      <w:rFonts w:ascii="仿宋_GB2312" w:hAnsi="仿宋_GB2312" w:cs="仿宋_GB2312" w:eastAsia="仿宋_GB2312"/>
                      <w:sz w:val="28"/>
                      <w:b/>
                      <w:color w:val="000000"/>
                    </w:rPr>
                    <w:t>2）、承载与车身</w:t>
                  </w:r>
                </w:p>
                <w:p>
                  <w:pPr>
                    <w:pStyle w:val="null3"/>
                    <w:jc w:val="left"/>
                  </w:pPr>
                  <w:r>
                    <w:rPr>
                      <w:rFonts w:ascii="仿宋_GB2312" w:hAnsi="仿宋_GB2312" w:cs="仿宋_GB2312" w:eastAsia="仿宋_GB2312"/>
                      <w:sz w:val="28"/>
                      <w:color w:val="000000"/>
                    </w:rPr>
                    <w:t xml:space="preserve"> ▲</w:t>
                  </w:r>
                  <w:r>
                    <w:rPr>
                      <w:rFonts w:ascii="仿宋_GB2312" w:hAnsi="仿宋_GB2312" w:cs="仿宋_GB2312" w:eastAsia="仿宋_GB2312"/>
                      <w:sz w:val="28"/>
                      <w:color w:val="000000"/>
                    </w:rPr>
                    <w:t>1. 额定载重：≥300kg</w:t>
                  </w:r>
                </w:p>
                <w:p>
                  <w:pPr>
                    <w:pStyle w:val="null3"/>
                    <w:jc w:val="left"/>
                  </w:pPr>
                  <w:r>
                    <w:rPr>
                      <w:rFonts w:ascii="仿宋_GB2312" w:hAnsi="仿宋_GB2312" w:cs="仿宋_GB2312" w:eastAsia="仿宋_GB2312"/>
                      <w:sz w:val="28"/>
                      <w:color w:val="000000"/>
                    </w:rPr>
                    <w:t>▲2. 车厢尺寸：长≥1960mm，宽≥590mm，高≥520mm</w:t>
                  </w:r>
                </w:p>
                <w:p>
                  <w:pPr>
                    <w:pStyle w:val="null3"/>
                    <w:jc w:val="left"/>
                  </w:pPr>
                  <w:r>
                    <w:rPr>
                      <w:rFonts w:ascii="仿宋_GB2312" w:hAnsi="仿宋_GB2312" w:cs="仿宋_GB2312" w:eastAsia="仿宋_GB2312"/>
                      <w:sz w:val="28"/>
                      <w:color w:val="000000"/>
                    </w:rPr>
                    <w:t>- 可拆卸式护栏，方便装卸茶叶筐</w:t>
                  </w:r>
                </w:p>
                <w:p>
                  <w:pPr>
                    <w:pStyle w:val="null3"/>
                    <w:jc w:val="left"/>
                  </w:pPr>
                  <w:r>
                    <w:rPr>
                      <w:rFonts w:ascii="仿宋_GB2312" w:hAnsi="仿宋_GB2312" w:cs="仿宋_GB2312" w:eastAsia="仿宋_GB2312"/>
                      <w:sz w:val="28"/>
                      <w:color w:val="000000"/>
                    </w:rPr>
                    <w:t>- 底板防滑、不漏叶、易冲洗</w:t>
                  </w:r>
                </w:p>
                <w:p>
                  <w:pPr>
                    <w:pStyle w:val="null3"/>
                    <w:jc w:val="left"/>
                  </w:pPr>
                  <w:r>
                    <w:rPr>
                      <w:rFonts w:ascii="仿宋_GB2312" w:hAnsi="仿宋_GB2312" w:cs="仿宋_GB2312" w:eastAsia="仿宋_GB2312"/>
                      <w:sz w:val="28"/>
                      <w:color w:val="000000"/>
                    </w:rPr>
                    <w:t>- 可选配茶叶专用筐架/托盘位</w:t>
                  </w:r>
                </w:p>
                <w:p>
                  <w:pPr>
                    <w:pStyle w:val="null3"/>
                    <w:jc w:val="left"/>
                  </w:pPr>
                  <w:r>
                    <w:rPr>
                      <w:rFonts w:ascii="仿宋_GB2312" w:hAnsi="仿宋_GB2312" w:cs="仿宋_GB2312" w:eastAsia="仿宋_GB2312"/>
                      <w:sz w:val="28"/>
                      <w:color w:val="000000"/>
                    </w:rPr>
                    <w:t>-在明显位置有额定载重、严禁载人、严禁超载等内容安全警示标志；</w:t>
                  </w:r>
                </w:p>
                <w:p>
                  <w:pPr>
                    <w:pStyle w:val="null3"/>
                    <w:jc w:val="left"/>
                  </w:pPr>
                  <w:r>
                    <w:rPr>
                      <w:rFonts w:ascii="仿宋_GB2312" w:hAnsi="仿宋_GB2312" w:cs="仿宋_GB2312" w:eastAsia="仿宋_GB2312"/>
                      <w:sz w:val="28"/>
                      <w:color w:val="000000"/>
                    </w:rPr>
                    <w:t>4. 整车自重：≤120kg</w:t>
                  </w:r>
                </w:p>
                <w:p>
                  <w:pPr>
                    <w:pStyle w:val="null3"/>
                    <w:jc w:val="left"/>
                  </w:pPr>
                  <w:r>
                    <w:rPr>
                      <w:rFonts w:ascii="仿宋_GB2312" w:hAnsi="仿宋_GB2312" w:cs="仿宋_GB2312" w:eastAsia="仿宋_GB2312"/>
                      <w:sz w:val="28"/>
                      <w:color w:val="000000"/>
                    </w:rPr>
                    <w:t>5. 转弯半径：水平转弯半径≤3m</w:t>
                  </w:r>
                </w:p>
                <w:p>
                  <w:pPr>
                    <w:pStyle w:val="null3"/>
                  </w:pPr>
                  <w:r>
                    <w:rPr>
                      <w:rFonts w:ascii="仿宋_GB2312" w:hAnsi="仿宋_GB2312" w:cs="仿宋_GB2312" w:eastAsia="仿宋_GB2312"/>
                      <w:sz w:val="28"/>
                      <w:b/>
                    </w:rPr>
                    <w:t>（</w:t>
                  </w:r>
                  <w:r>
                    <w:rPr>
                      <w:rFonts w:ascii="仿宋_GB2312" w:hAnsi="仿宋_GB2312" w:cs="仿宋_GB2312" w:eastAsia="仿宋_GB2312"/>
                      <w:sz w:val="28"/>
                      <w:b/>
                    </w:rPr>
                    <w:t>3</w:t>
                  </w:r>
                  <w:r>
                    <w:rPr>
                      <w:rFonts w:ascii="仿宋_GB2312" w:hAnsi="仿宋_GB2312" w:cs="仿宋_GB2312" w:eastAsia="仿宋_GB2312"/>
                      <w:sz w:val="28"/>
                      <w:b/>
                    </w:rPr>
                    <w:t>）制动与安全系统</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行车制动：手刹式机械制动</w:t>
                  </w:r>
                </w:p>
                <w:p>
                  <w:pPr>
                    <w:pStyle w:val="null3"/>
                    <w:jc w:val="left"/>
                  </w:pPr>
                  <w:r>
                    <w:rPr>
                      <w:rFonts w:ascii="仿宋_GB2312" w:hAnsi="仿宋_GB2312" w:cs="仿宋_GB2312" w:eastAsia="仿宋_GB2312"/>
                      <w:sz w:val="28"/>
                      <w:color w:val="000000"/>
                    </w:rPr>
                    <w:t>2. 驻车制动：自锁式制动，坡道停车不溜车</w:t>
                  </w:r>
                </w:p>
                <w:p>
                  <w:pPr>
                    <w:pStyle w:val="null3"/>
                    <w:jc w:val="left"/>
                  </w:pPr>
                  <w:r>
                    <w:rPr>
                      <w:rFonts w:ascii="仿宋_GB2312" w:hAnsi="仿宋_GB2312" w:cs="仿宋_GB2312" w:eastAsia="仿宋_GB2312"/>
                      <w:sz w:val="28"/>
                      <w:color w:val="000000"/>
                    </w:rPr>
                    <w:t>3. 过载保护：离合器打滑保护，防止堵转损坏发动机</w:t>
                  </w:r>
                </w:p>
                <w:p>
                  <w:pPr>
                    <w:pStyle w:val="null3"/>
                    <w:jc w:val="left"/>
                  </w:pPr>
                  <w:r>
                    <w:rPr>
                      <w:rFonts w:ascii="仿宋_GB2312" w:hAnsi="仿宋_GB2312" w:cs="仿宋_GB2312" w:eastAsia="仿宋_GB2312"/>
                      <w:sz w:val="28"/>
                      <w:color w:val="000000"/>
                    </w:rPr>
                    <w:t>4. 安全装置：</w:t>
                  </w:r>
                </w:p>
                <w:p>
                  <w:pPr>
                    <w:pStyle w:val="null3"/>
                    <w:jc w:val="left"/>
                  </w:pPr>
                  <w:r>
                    <w:rPr>
                      <w:rFonts w:ascii="仿宋_GB2312" w:hAnsi="仿宋_GB2312" w:cs="仿宋_GB2312" w:eastAsia="仿宋_GB2312"/>
                      <w:sz w:val="28"/>
                      <w:color w:val="000000"/>
                    </w:rPr>
                    <w:t>- 紧急停机开关</w:t>
                  </w:r>
                </w:p>
                <w:p>
                  <w:pPr>
                    <w:pStyle w:val="null3"/>
                    <w:jc w:val="left"/>
                  </w:pPr>
                  <w:r>
                    <w:rPr>
                      <w:rFonts w:ascii="仿宋_GB2312" w:hAnsi="仿宋_GB2312" w:cs="仿宋_GB2312" w:eastAsia="仿宋_GB2312"/>
                      <w:sz w:val="28"/>
                      <w:color w:val="000000"/>
                    </w:rPr>
                    <w:t>- 防护挡板，防止衣物卷入传动部位</w:t>
                  </w:r>
                </w:p>
                <w:p>
                  <w:pPr>
                    <w:pStyle w:val="null3"/>
                    <w:jc w:val="left"/>
                  </w:pPr>
                  <w:r>
                    <w:rPr>
                      <w:rFonts w:ascii="仿宋_GB2312" w:hAnsi="仿宋_GB2312" w:cs="仿宋_GB2312" w:eastAsia="仿宋_GB2312"/>
                      <w:sz w:val="28"/>
                      <w:color w:val="000000"/>
                    </w:rPr>
                    <w:t>- 轨道防脱轨限位装置</w:t>
                  </w:r>
                </w:p>
                <w:p>
                  <w:pPr>
                    <w:pStyle w:val="null3"/>
                  </w:pPr>
                  <w:r>
                    <w:rPr>
                      <w:rFonts w:ascii="仿宋_GB2312" w:hAnsi="仿宋_GB2312" w:cs="仿宋_GB2312" w:eastAsia="仿宋_GB2312"/>
                      <w:sz w:val="19"/>
                      <w:b/>
                    </w:rPr>
                    <w:t xml:space="preserve"> </w:t>
                  </w:r>
                </w:p>
                <w:p>
                  <w:pPr>
                    <w:pStyle w:val="null3"/>
                  </w:pPr>
                  <w:r>
                    <w:rPr>
                      <w:rFonts w:ascii="仿宋_GB2312" w:hAnsi="仿宋_GB2312" w:cs="仿宋_GB2312" w:eastAsia="仿宋_GB2312"/>
                      <w:sz w:val="28"/>
                      <w:b/>
                    </w:rPr>
                    <w:t>（</w:t>
                  </w:r>
                  <w:r>
                    <w:rPr>
                      <w:rFonts w:ascii="仿宋_GB2312" w:hAnsi="仿宋_GB2312" w:cs="仿宋_GB2312" w:eastAsia="仿宋_GB2312"/>
                      <w:sz w:val="28"/>
                      <w:b/>
                    </w:rPr>
                    <w:t>4</w:t>
                  </w:r>
                  <w:r>
                    <w:rPr>
                      <w:rFonts w:ascii="仿宋_GB2312" w:hAnsi="仿宋_GB2312" w:cs="仿宋_GB2312" w:eastAsia="仿宋_GB2312"/>
                      <w:sz w:val="28"/>
                      <w:b/>
                    </w:rPr>
                    <w:t>）、传动与操控</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传动方式：链条传动+减速箱，扭矩大、爬坡强</w:t>
                  </w:r>
                </w:p>
                <w:p>
                  <w:pPr>
                    <w:pStyle w:val="null3"/>
                    <w:jc w:val="left"/>
                  </w:pPr>
                  <w:r>
                    <w:rPr>
                      <w:rFonts w:ascii="仿宋_GB2312" w:hAnsi="仿宋_GB2312" w:cs="仿宋_GB2312" w:eastAsia="仿宋_GB2312"/>
                      <w:sz w:val="28"/>
                      <w:color w:val="000000"/>
                    </w:rPr>
                    <w:t>2. 操控方式：手推随车操控，操作简单</w:t>
                  </w:r>
                </w:p>
                <w:p>
                  <w:pPr>
                    <w:pStyle w:val="null3"/>
                    <w:jc w:val="left"/>
                  </w:pPr>
                  <w:r>
                    <w:rPr>
                      <w:rFonts w:ascii="仿宋_GB2312" w:hAnsi="仿宋_GB2312" w:cs="仿宋_GB2312" w:eastAsia="仿宋_GB2312"/>
                      <w:sz w:val="28"/>
                      <w:color w:val="000000"/>
                    </w:rPr>
                    <w:t>3. 离合方式：手动离心离合/手柄离合</w:t>
                  </w:r>
                </w:p>
                <w:p>
                  <w:pPr>
                    <w:pStyle w:val="null3"/>
                    <w:jc w:val="left"/>
                  </w:pPr>
                  <w:r>
                    <w:rPr>
                      <w:rFonts w:ascii="仿宋_GB2312" w:hAnsi="仿宋_GB2312" w:cs="仿宋_GB2312" w:eastAsia="仿宋_GB2312"/>
                      <w:sz w:val="21"/>
                      <w:color w:val="000000"/>
                    </w:rPr>
                    <w:t xml:space="preserve"> 4</w:t>
                  </w:r>
                  <w:r>
                    <w:rPr>
                      <w:rFonts w:ascii="仿宋_GB2312" w:hAnsi="仿宋_GB2312" w:cs="仿宋_GB2312" w:eastAsia="仿宋_GB2312"/>
                      <w:sz w:val="28"/>
                      <w:color w:val="000000"/>
                    </w:rPr>
                    <w:t>. 行走轮：耐磨工程塑料轮或铸铁包胶轮，不伤轨道，运行静音</w:t>
                  </w:r>
                </w:p>
                <w:p>
                  <w:pPr>
                    <w:pStyle w:val="null3"/>
                    <w:jc w:val="left"/>
                  </w:pPr>
                  <w:r>
                    <w:rPr>
                      <w:rFonts w:ascii="仿宋_GB2312" w:hAnsi="仿宋_GB2312" w:cs="仿宋_GB2312" w:eastAsia="仿宋_GB2312"/>
                      <w:sz w:val="28"/>
                      <w:color w:val="000000"/>
                    </w:rPr>
                    <w:t>5. 爬坡能力：≥45°（茶园常用坡度）</w:t>
                  </w:r>
                </w:p>
                <w:p>
                  <w:pPr>
                    <w:pStyle w:val="null3"/>
                    <w:jc w:val="left"/>
                  </w:pPr>
                  <w:r>
                    <w:rPr>
                      <w:rFonts w:ascii="仿宋_GB2312" w:hAnsi="仿宋_GB2312" w:cs="仿宋_GB2312" w:eastAsia="仿宋_GB2312"/>
                      <w:sz w:val="28"/>
                      <w:color w:val="000000"/>
                    </w:rPr>
                    <w:t>6. 行驶速度：</w:t>
                  </w:r>
                </w:p>
                <w:p>
                  <w:pPr>
                    <w:pStyle w:val="null3"/>
                    <w:jc w:val="left"/>
                  </w:pPr>
                  <w:r>
                    <w:rPr>
                      <w:rFonts w:ascii="仿宋_GB2312" w:hAnsi="仿宋_GB2312" w:cs="仿宋_GB2312" w:eastAsia="仿宋_GB2312"/>
                      <w:sz w:val="28"/>
                      <w:color w:val="000000"/>
                    </w:rPr>
                    <w:t>- 空载：0～1.2m/s 可调</w:t>
                  </w:r>
                </w:p>
                <w:p>
                  <w:pPr>
                    <w:pStyle w:val="null3"/>
                    <w:jc w:val="left"/>
                  </w:pPr>
                  <w:r>
                    <w:rPr>
                      <w:rFonts w:ascii="仿宋_GB2312" w:hAnsi="仿宋_GB2312" w:cs="仿宋_GB2312" w:eastAsia="仿宋_GB2312"/>
                      <w:sz w:val="28"/>
                      <w:color w:val="000000"/>
                    </w:rPr>
                    <w:t>- 满载：0～0.8m/s 可调</w:t>
                  </w:r>
                </w:p>
                <w:p>
                  <w:pPr>
                    <w:pStyle w:val="null3"/>
                    <w:jc w:val="left"/>
                  </w:pPr>
                  <w:r>
                    <w:rPr>
                      <w:rFonts w:ascii="仿宋_GB2312" w:hAnsi="仿宋_GB2312" w:cs="仿宋_GB2312" w:eastAsia="仿宋_GB2312"/>
                      <w:sz w:val="19"/>
                    </w:rPr>
                    <w:t xml:space="preserve"> </w:t>
                  </w:r>
                </w:p>
                <w:p>
                  <w:pPr>
                    <w:pStyle w:val="null3"/>
                    <w:jc w:val="left"/>
                  </w:pPr>
                  <w:r>
                    <w:rPr>
                      <w:rFonts w:ascii="仿宋_GB2312" w:hAnsi="仿宋_GB2312" w:cs="仿宋_GB2312" w:eastAsia="仿宋_GB2312"/>
                      <w:sz w:val="28"/>
                      <w:b/>
                    </w:rPr>
                    <w:t>（</w:t>
                  </w:r>
                  <w:r>
                    <w:rPr>
                      <w:rFonts w:ascii="仿宋_GB2312" w:hAnsi="仿宋_GB2312" w:cs="仿宋_GB2312" w:eastAsia="仿宋_GB2312"/>
                      <w:sz w:val="28"/>
                      <w:b/>
                    </w:rPr>
                    <w:t>5</w:t>
                  </w:r>
                  <w:r>
                    <w:rPr>
                      <w:rFonts w:ascii="仿宋_GB2312" w:hAnsi="仿宋_GB2312" w:cs="仿宋_GB2312" w:eastAsia="仿宋_GB2312"/>
                      <w:sz w:val="28"/>
                      <w:b/>
                    </w:rPr>
                    <w:t>）、使用环境与可靠性</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工作环境温度：-5℃～45℃</w:t>
                  </w:r>
                </w:p>
                <w:p>
                  <w:pPr>
                    <w:pStyle w:val="null3"/>
                    <w:jc w:val="left"/>
                  </w:pPr>
                  <w:r>
                    <w:rPr>
                      <w:rFonts w:ascii="仿宋_GB2312" w:hAnsi="仿宋_GB2312" w:cs="仿宋_GB2312" w:eastAsia="仿宋_GB2312"/>
                      <w:sz w:val="28"/>
                      <w:color w:val="000000"/>
                    </w:rPr>
                    <w:t>2. 适用工况：露天茶园、雨雾潮湿环境</w:t>
                  </w:r>
                </w:p>
                <w:p>
                  <w:pPr>
                    <w:pStyle w:val="null3"/>
                    <w:jc w:val="left"/>
                  </w:pPr>
                  <w:r>
                    <w:rPr>
                      <w:rFonts w:ascii="仿宋_GB2312" w:hAnsi="仿宋_GB2312" w:cs="仿宋_GB2312" w:eastAsia="仿宋_GB2312"/>
                      <w:sz w:val="28"/>
                      <w:color w:val="000000"/>
                    </w:rPr>
                    <w:t>3. 整机防锈：车架喷塑/烤漆处理，关键部件防锈</w:t>
                  </w:r>
                </w:p>
                <w:p>
                  <w:pPr>
                    <w:pStyle w:val="null3"/>
                    <w:jc w:val="left"/>
                  </w:pPr>
                  <w:r>
                    <w:rPr>
                      <w:rFonts w:ascii="仿宋_GB2312" w:hAnsi="仿宋_GB2312" w:cs="仿宋_GB2312" w:eastAsia="仿宋_GB2312"/>
                      <w:sz w:val="28"/>
                      <w:color w:val="000000"/>
                    </w:rPr>
                    <w:t>4. 连续工作稳定性：满载连续运行不熄火、不跑偏、无异响</w:t>
                  </w:r>
                </w:p>
                <w:p>
                  <w:pPr>
                    <w:pStyle w:val="null3"/>
                    <w:jc w:val="left"/>
                  </w:pPr>
                  <w:r>
                    <w:rPr>
                      <w:rFonts w:ascii="仿宋_GB2312" w:hAnsi="仿宋_GB2312" w:cs="仿宋_GB2312" w:eastAsia="仿宋_GB2312"/>
                      <w:sz w:val="28"/>
                      <w:color w:val="000000"/>
                    </w:rPr>
                    <w:t>5. 易维护性：空滤、火花塞、链条等易损件通用，更换方便</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1"/>
                      <w:color w:val="000000"/>
                    </w:rPr>
                    <w:t xml:space="preserve"> </w:t>
                  </w:r>
                </w:p>
                <w:p>
                  <w:pPr>
                    <w:pStyle w:val="null3"/>
                  </w:pPr>
                </w:p>
              </w:tc>
            </w:tr>
            <w:tr>
              <w:tc>
                <w:tcPr>
                  <w:tcW w:type="dxa" w:w="4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2</w:t>
                  </w:r>
                </w:p>
              </w:tc>
              <w:tc>
                <w:tcPr>
                  <w:tcW w:type="dxa" w:w="4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轨道</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color w:val="000000"/>
                    </w:rPr>
                    <w:t>3100</w:t>
                  </w:r>
                </w:p>
              </w:tc>
              <w:tc>
                <w:tcPr>
                  <w:tcW w:type="dxa" w:w="4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8"/>
                      <w:color w:val="000000"/>
                    </w:rPr>
                    <w:t>米</w:t>
                  </w:r>
                </w:p>
              </w:tc>
              <w:tc>
                <w:tcPr>
                  <w:tcW w:type="dxa" w:w="210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1）轨道</w:t>
                  </w:r>
                </w:p>
                <w:p>
                  <w:pPr>
                    <w:pStyle w:val="null3"/>
                    <w:jc w:val="left"/>
                  </w:pPr>
                  <w:r>
                    <w:rPr>
                      <w:rFonts w:ascii="仿宋_GB2312" w:hAnsi="仿宋_GB2312" w:cs="仿宋_GB2312" w:eastAsia="仿宋_GB2312"/>
                      <w:sz w:val="21"/>
                      <w:color w:val="000000"/>
                    </w:rPr>
                    <w:t xml:space="preserve"> </w:t>
                  </w:r>
                </w:p>
                <w:p>
                  <w:pPr>
                    <w:pStyle w:val="null3"/>
                    <w:jc w:val="left"/>
                  </w:pPr>
                  <w:r>
                    <w:rPr>
                      <w:rFonts w:ascii="仿宋_GB2312" w:hAnsi="仿宋_GB2312" w:cs="仿宋_GB2312" w:eastAsia="仿宋_GB2312"/>
                      <w:sz w:val="28"/>
                      <w:color w:val="000000"/>
                    </w:rPr>
                    <w:t>1. 适用轨距：1000mm（可按用户现场定制）</w:t>
                  </w:r>
                </w:p>
                <w:p>
                  <w:pPr>
                    <w:pStyle w:val="null3"/>
                    <w:jc w:val="left"/>
                  </w:pPr>
                  <w:r>
                    <w:rPr>
                      <w:rFonts w:ascii="仿宋_GB2312" w:hAnsi="仿宋_GB2312" w:cs="仿宋_GB2312" w:eastAsia="仿宋_GB2312"/>
                      <w:sz w:val="28"/>
                      <w:color w:val="000000"/>
                    </w:rPr>
                    <w:t>★2. 轨道规格：结构用冷弯空心型钢（热浸镀锌），规格型号：F50*5mm, 材质级别：Q235B</w:t>
                  </w:r>
                </w:p>
                <w:p>
                  <w:pPr>
                    <w:pStyle w:val="null3"/>
                    <w:jc w:val="left"/>
                  </w:pPr>
                  <w:r>
                    <w:rPr>
                      <w:rFonts w:ascii="仿宋_GB2312" w:hAnsi="仿宋_GB2312" w:cs="仿宋_GB2312" w:eastAsia="仿宋_GB2312"/>
                      <w:sz w:val="28"/>
                      <w:b/>
                      <w:color w:val="000000"/>
                    </w:rPr>
                    <w:t>（</w:t>
                  </w:r>
                  <w:r>
                    <w:rPr>
                      <w:rFonts w:ascii="仿宋_GB2312" w:hAnsi="仿宋_GB2312" w:cs="仿宋_GB2312" w:eastAsia="仿宋_GB2312"/>
                      <w:sz w:val="28"/>
                      <w:b/>
                      <w:color w:val="000000"/>
                    </w:rPr>
                    <w:t>2）、支撑与固定系统</w:t>
                  </w:r>
                </w:p>
                <w:p>
                  <w:pPr>
                    <w:pStyle w:val="null3"/>
                    <w:jc w:val="left"/>
                  </w:pPr>
                  <w:r>
                    <w:rPr>
                      <w:rFonts w:ascii="仿宋_GB2312" w:hAnsi="仿宋_GB2312" w:cs="仿宋_GB2312" w:eastAsia="仿宋_GB2312"/>
                      <w:sz w:val="28"/>
                      <w:color w:val="000000"/>
                    </w:rPr>
                    <w:t>★</w:t>
                  </w:r>
                  <w:r>
                    <w:rPr>
                      <w:rFonts w:ascii="仿宋_GB2312" w:hAnsi="仿宋_GB2312" w:cs="仿宋_GB2312" w:eastAsia="仿宋_GB2312"/>
                      <w:sz w:val="21"/>
                      <w:color w:val="000000"/>
                    </w:rPr>
                    <w:t xml:space="preserve"> </w:t>
                  </w:r>
                  <w:r>
                    <w:rPr>
                      <w:rFonts w:ascii="仿宋_GB2312" w:hAnsi="仿宋_GB2312" w:cs="仿宋_GB2312" w:eastAsia="仿宋_GB2312"/>
                      <w:sz w:val="28"/>
                      <w:color w:val="000000"/>
                    </w:rPr>
                    <w:t>1. 支撑立柱采用热镀锌圆管，6分*2.5MM;</w:t>
                  </w:r>
                </w:p>
                <w:p>
                  <w:pPr>
                    <w:pStyle w:val="null3"/>
                    <w:jc w:val="left"/>
                  </w:pPr>
                  <w:r>
                    <w:rPr>
                      <w:rFonts w:ascii="仿宋_GB2312" w:hAnsi="仿宋_GB2312" w:cs="仿宋_GB2312" w:eastAsia="仿宋_GB2312"/>
                      <w:sz w:val="28"/>
                      <w:color w:val="000000"/>
                    </w:rPr>
                    <w:t>2、立柱底部设可调地脚，调节高度≥30mm，可适配不同地面平整度，保证轨道整体水平。</w:t>
                  </w:r>
                </w:p>
                <w:p>
                  <w:pPr>
                    <w:pStyle w:val="null3"/>
                    <w:jc w:val="left"/>
                  </w:pPr>
                  <w:r>
                    <w:rPr>
                      <w:rFonts w:ascii="仿宋_GB2312" w:hAnsi="仿宋_GB2312" w:cs="仿宋_GB2312" w:eastAsia="仿宋_GB2312"/>
                      <w:sz w:val="28"/>
                      <w:color w:val="000000"/>
                    </w:rPr>
                    <w:t>3. 横梁、斜撑构件与轨道主体材质一致，连接采用镀锌螺栓、螺母固定，紧固件均经过防锈处理，安装牢固，整体框架承重≥100kg/m，运行时无变形、无倾斜。</w:t>
                  </w:r>
                </w:p>
                <w:p>
                  <w:pPr>
                    <w:pStyle w:val="null3"/>
                    <w:jc w:val="left"/>
                  </w:pPr>
                  <w:r>
                    <w:rPr>
                      <w:rFonts w:ascii="仿宋_GB2312" w:hAnsi="仿宋_GB2312" w:cs="仿宋_GB2312" w:eastAsia="仿宋_GB2312"/>
                      <w:sz w:val="28"/>
                      <w:color w:val="000000"/>
                    </w:rPr>
                    <w:t>4. 轨道安装间距均匀，支撑点间距≤1500mm，确保轨道长期使用不下垂、不变形，使用寿命≥8年。</w:t>
                  </w:r>
                </w:p>
                <w:p>
                  <w:pPr>
                    <w:pStyle w:val="null3"/>
                    <w:ind w:left="75"/>
                    <w:jc w:val="left"/>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sz w:val="27"/>
                <w:b/>
              </w:rPr>
              <w:t>备注：1、本项目核心产品：轨道运输车</w:t>
            </w:r>
          </w:p>
          <w:p>
            <w:pPr>
              <w:pStyle w:val="null3"/>
            </w:pPr>
            <w:r>
              <w:rPr>
                <w:rFonts w:ascii="仿宋_GB2312" w:hAnsi="仿宋_GB2312" w:cs="仿宋_GB2312" w:eastAsia="仿宋_GB2312"/>
                <w:sz w:val="27"/>
                <w:b/>
              </w:rPr>
              <w:t>2、投标文件格式中，涉及标的名称的，按此表中的标的名称（如：轨道运输车、轨道）填写</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30日历天</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合同约定地点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 xml:space="preserve"> 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项目验收通过后，乙方出具全额增值税发票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资料要求：提供产品合格证、质检报告、非道路机械排放认证（动力型）、安装说明书。 2. 安装调试：供方负责上门安装、调试，免费培训操作人员，确保熟练掌握使用及维护方法。 3、中标人应提供合同货物验收中发现合同货物达不到样品验收标准或合同规定的性能指标，中标人必须更换合同货物，并负担由此给采购人造成的损失，直到验收合格为止。</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整车质保≥1年，轨道系统质保≥2年，质保期内非人为损坏免费维修、更换。保修期内免费维修。保修期满后，中标人仍提供维修服务，以成本价收取维修费用</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根据招标文件、投标文件以及合同条款执行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 xml:space="preserve"> 采购标的的专用工具、备品备件、安装调试及配套工程、质量保证等要求； （1）专用工具：提供货物组装和维修所需的专用工具（如有）。 （2）备品备件：设备运行中所涉及的备品备件（如有），投标人应提供完整的清单，明确规格产地。 （3）安装调试及配套工程：根据采购人要求安装调试合格且具备使用条件。 （4）质量保证：所供商品交付使用时，乙方必须向甲方提供质量保证书等必须具备的相关资料和必备的产品附件。（5） 本地化服务机构：中标后15日内，供应商须在项目所在地设有常设售后服务网点/正规服务机构，具备固定办公场地、常备售后技术人员及备品备件库，提供属地化就近服务支撑。 （6）. 到场响应时效：接到用户售后报修、故障通知后，售后人员须1小时内抵达现场开展故障排查、维修、更换及调试服务。</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 投标文件封面 供应商认为需要提供的其他内容.pdf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供应商应提交的相关资格证明材料.pdf 供应商认为需要提供的其他内容.pdf</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供应商为具有独立承担民事责任能力的企业法人、事业法人、其他组织，提供营业执照（事业单位须事业单位法人证、组织机构代码证等证明文件；其他组织应提供合法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法定代表身份证明或授权委托书</w:t>
            </w:r>
          </w:p>
        </w:tc>
        <w:tc>
          <w:tcPr>
            <w:tcW w:type="dxa" w:w="3322"/>
          </w:tcPr>
          <w:p>
            <w:pPr>
              <w:pStyle w:val="null3"/>
            </w:pPr>
            <w:r>
              <w:rPr>
                <w:rFonts w:ascii="仿宋_GB2312" w:hAnsi="仿宋_GB2312" w:cs="仿宋_GB2312" w:eastAsia="仿宋_GB2312"/>
              </w:rPr>
              <w:t>法定代表人直接参加磋商的，须出具法人身份证(附法定代表人身份证复印件);法定代表人授权代表参加磋商的，须出具法定代表人授权书及授权代表身份证(附法定代表人身份证复印件及被授权人身份证复印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提供汉中市政府采购供应商资格承诺函</w:t>
            </w:r>
          </w:p>
        </w:tc>
        <w:tc>
          <w:tcPr>
            <w:tcW w:type="dxa" w:w="3322"/>
          </w:tcPr>
          <w:p>
            <w:pPr>
              <w:pStyle w:val="null3"/>
            </w:pPr>
            <w:r>
              <w:rPr>
                <w:rFonts w:ascii="仿宋_GB2312" w:hAnsi="仿宋_GB2312" w:cs="仿宋_GB2312" w:eastAsia="仿宋_GB2312"/>
              </w:rPr>
              <w:t>供应商须具有良好的商业信誉和健全的财务会计制度、具有履行合同所必需的设备和专业技术能力、具有依法缴纳税收和社会保障资金的良好记录，参加本项目采购活动前三年内在经营活动中无重大违法活动记录，未列入在信用中国网站“失信被执行人”、“重大税收违法案件当事人名单”中(www.creditchina.gov.cn)，未列入中国政府采购网“政府采购严重违法失信行为记录名单”中（www.ccgp.gov.cn），供应商需提供加盖公章的《汉中市政府采购供应商资格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非联合体投标声明及无关联关系</w:t>
            </w:r>
          </w:p>
        </w:tc>
        <w:tc>
          <w:tcPr>
            <w:tcW w:type="dxa" w:w="3322"/>
          </w:tcPr>
          <w:p>
            <w:pPr>
              <w:pStyle w:val="null3"/>
            </w:pPr>
            <w:r>
              <w:rPr>
                <w:rFonts w:ascii="仿宋_GB2312" w:hAnsi="仿宋_GB2312" w:cs="仿宋_GB2312" w:eastAsia="仿宋_GB2312"/>
              </w:rPr>
              <w:t>本项目不接受联合体投标。单位负责人为同一人或者存在控股、管理关系的不同单位，不得参加同一项目的响应，供应商需在项目电子化交易系统中按要求上传相应证明文件并进行电子签章。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供应商应提交的相关资格证明材料.pdf</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参与的供应商（联合体）提供的货物全部由符合政策要求的中小企业制造。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政府采购评审中出现下列情形之一的，评标小组应当启动异常低价投标（响应）审查程序：（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（3）投标（响应）报价低于采购项目最高限价60%的，即投标（响应）报价&lt;采购项目最高限价×60%； （4）评标小组基于专业判断，认为供应商报价过低，有可能影响产品质量或者不能诚信履约的其他情形。 2.评标小组启动异常低价投标（响应）审查后，属于前述第1项至第4项情形的，应当要求相关供应商在30分钟内对投标（响应）价格作出解释，提供项目具体成本测算等与报价合理性相关的书面说明及必要的证明材料，包括但不限于原材料成本、人工成本、制造费用等。其中，属于第3项情形，供应商已随投标（响应）文件一并提交相关书面说明及必要的证明材料的，在评审现场可不再重复提交。 3.供应商提交的相关说明和证明材料，应当加盖供应商（法定名称）电子印章，在评标小组要求的时间内通过项目电子化交易系统进行提交，否则提交的相关证明材料无效。投标（响应）供应商不能提供书面说明、证明材料，或者提供的书面说明、证明材料不能证明其报价合理性的，评标小组应当将其作为无效投标（响应）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投标报价超过采购预算或者最高限价（不合格） 投标报价未超过采购预算或者最高限价（合格）</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交货时间</w:t>
            </w:r>
          </w:p>
        </w:tc>
        <w:tc>
          <w:tcPr>
            <w:tcW w:type="dxa" w:w="3322"/>
          </w:tcPr>
          <w:p>
            <w:pPr>
              <w:pStyle w:val="null3"/>
            </w:pPr>
            <w:r>
              <w:rPr>
                <w:rFonts w:ascii="仿宋_GB2312" w:hAnsi="仿宋_GB2312" w:cs="仿宋_GB2312" w:eastAsia="仿宋_GB2312"/>
              </w:rPr>
              <w:t>交货时间不满足招标文件要求（不合格） 交货时间满足招标文件要求（合格）</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投标文件的签署、盖章不符合招标文件要求（不合格） 投标文件的签署、盖章符合招标文件要求（合格）</w:t>
            </w:r>
          </w:p>
        </w:tc>
        <w:tc>
          <w:tcPr>
            <w:tcW w:type="dxa" w:w="1661"/>
          </w:tcPr>
          <w:p>
            <w:pPr>
              <w:pStyle w:val="null3"/>
            </w:pPr>
            <w:r>
              <w:rPr>
                <w:rFonts w:ascii="仿宋_GB2312" w:hAnsi="仿宋_GB2312" w:cs="仿宋_GB2312" w:eastAsia="仿宋_GB2312"/>
              </w:rPr>
              <w:t>开标一览表 业绩.docx 培训方案.docx 中小企业声明函 质量保证措施方案.docx 商务应答表 安装调试方案.docx 产品技术参数表 投标函 售后服务.docx 残疾人福利性单位声明函 安全方案.docx 供应商应提交的相关资格证明材料.pdf 标的清单 投标文件封面 实施方案.docx 供应商认为需要提供的其他内容.pdf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投标文件无投标有效期或有效期达不到招标文件要求的（不合格） 投标文件有效期达到招标文件要求的 （合格）</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投标文件含有采购人不能接受的附加条件的（不合格） 投标文件没有采购人不能接受的附加条件的（合格）</w:t>
            </w:r>
          </w:p>
        </w:tc>
        <w:tc>
          <w:tcPr>
            <w:tcW w:type="dxa" w:w="1661"/>
          </w:tcPr>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质保期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投标函 商务应答表</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其他实质性响应</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产品技术参数表 供应商认为需要提供的其他内容.pdf</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评审内容 针对本项目有具体实施方案，①总体实施方案；②计划进度安排；③项目团队配备；赋分标准：1、方案内容完整全面，对上述各项内容均有描述及说明，得3分;缺1项，扣1分。2、针对性:针对性强，得3分;针对性一般，得2分;缺乏针对性，得1分。 3、可实施性:可实施性强，得3分;可实施性一般，得2分;缺乏可实施性，得1分。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产品技术</w:t>
            </w:r>
          </w:p>
        </w:tc>
        <w:tc>
          <w:tcPr>
            <w:tcW w:type="dxa" w:w="2492"/>
          </w:tcPr>
          <w:p>
            <w:pPr>
              <w:pStyle w:val="null3"/>
            </w:pPr>
            <w:r>
              <w:rPr>
                <w:rFonts w:ascii="仿宋_GB2312" w:hAnsi="仿宋_GB2312" w:cs="仿宋_GB2312" w:eastAsia="仿宋_GB2312"/>
              </w:rPr>
              <w:t>评审内容 ：总分16分， 1.技术要求中的技术指标及产品功能，标注▲的任何一项低于招标要求，扣1分，以证明资料为准；2、不带★和▲的技术指标及产品功能，以产品技术参数表为准，任何一项低于招标要求或不具备扣0.5分，不计负分；标注★和▲的，需提供参数对应证明材料，包括但不限于检测报告或宣传彩页或产品说明书等。</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安全方案</w:t>
            </w:r>
          </w:p>
        </w:tc>
        <w:tc>
          <w:tcPr>
            <w:tcW w:type="dxa" w:w="2492"/>
          </w:tcPr>
          <w:p>
            <w:pPr>
              <w:pStyle w:val="null3"/>
            </w:pPr>
            <w:r>
              <w:rPr>
                <w:rFonts w:ascii="仿宋_GB2312" w:hAnsi="仿宋_GB2312" w:cs="仿宋_GB2312" w:eastAsia="仿宋_GB2312"/>
              </w:rPr>
              <w:t>一、评审内容：供应商针对本项目编制完整的安全方案，内容包含但不限于：①安全管理制度； ②安全安装调试措施； ③安全应急预案。 二、评审标准： 1、完整性：方案必须全面，对评审内容中的各项要求有详细描述； 2、可实施性：切合本项目实际情况，提出步骤清晰、合理的方案； 3、针对性：方案能够紧扣项目实际情况，内容科学合理。 三、赋分标准（满分9分）1、方案内容完整全面，对上述各项内容均有描述及说明，得3分;缺1项，扣1分。2、针对性:针对性强，得3分;针对性一般，得2分;缺乏针对性，得1分。 3、可实施性:可实施性强，得3分;可实施性一般，得2分;缺乏可实施性，得1分。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安全方案.docx</w:t>
            </w:r>
          </w:p>
        </w:tc>
      </w:tr>
      <w:tr>
        <w:tc>
          <w:tcPr>
            <w:tcW w:type="dxa" w:w="831"/>
            <w:vMerge/>
          </w:tcPr>
          <w:p/>
        </w:tc>
        <w:tc>
          <w:tcPr>
            <w:tcW w:type="dxa" w:w="1661"/>
          </w:tcPr>
          <w:p>
            <w:pPr>
              <w:pStyle w:val="null3"/>
            </w:pPr>
            <w:r>
              <w:rPr>
                <w:rFonts w:ascii="仿宋_GB2312" w:hAnsi="仿宋_GB2312" w:cs="仿宋_GB2312" w:eastAsia="仿宋_GB2312"/>
              </w:rPr>
              <w:t>质量保证措施方案</w:t>
            </w:r>
          </w:p>
        </w:tc>
        <w:tc>
          <w:tcPr>
            <w:tcW w:type="dxa" w:w="2492"/>
          </w:tcPr>
          <w:p>
            <w:pPr>
              <w:pStyle w:val="null3"/>
            </w:pPr>
            <w:r>
              <w:rPr>
                <w:rFonts w:ascii="仿宋_GB2312" w:hAnsi="仿宋_GB2312" w:cs="仿宋_GB2312" w:eastAsia="仿宋_GB2312"/>
              </w:rPr>
              <w:t>一、评审内容：供应商针对本项目编制完善的质量保证措施方案，内容包含但不限于：①确保质量的技术组织措施；②安装、配套工程整体质量控制措施。 二、评审标准： 1、完整性：方案必须全面，对评审内容中的各项要求有详细描述； 2、可实施性：切合本项目实际情况，提出步骤清晰、合理的方案； 3、针对性：方案能够紧扣项目实际情况，内容科学合理。 三、赋分标准（满分6分）：1、方案内容完整全面，对上述各项内容均有描述及说明，得2分;缺1项，扣1分。2、可实施性:可实施性强，得2分;可实施性一般，得1分;缺乏可实施性，得0.5分。3、针对性:针对性强，得2分;针对性一般，得1分;缺乏针对性，得0.5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质量保证措施方案.docx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安装调试方案</w:t>
            </w:r>
          </w:p>
        </w:tc>
        <w:tc>
          <w:tcPr>
            <w:tcW w:type="dxa" w:w="2492"/>
          </w:tcPr>
          <w:p>
            <w:pPr>
              <w:pStyle w:val="null3"/>
            </w:pPr>
            <w:r>
              <w:rPr>
                <w:rFonts w:ascii="仿宋_GB2312" w:hAnsi="仿宋_GB2312" w:cs="仿宋_GB2312" w:eastAsia="仿宋_GB2312"/>
              </w:rPr>
              <w:t>一、评审内容：供应商针对本项目编制完善的安装调试方案，内容包含但不限于：①技术准备与资源配置；②安装工艺及方案；③调试流程方案。 二、评审标准： 1、完整性：方案必须全面，对评审内容中的各项要求有详细描述； 2、可实施性：切合本项目实际情况，提出步骤清晰、合理的方案； 3、针对性：方案能够紧扣项目实际情况，内容科学合理。 三、赋分标准（满分9分）： 1、方案内容完整全面，对上述各项内容均有描述及说明，得3分;缺1项，扣1分。2、可实施性:可实施性强，得3分;可实施性一般，得2分;缺乏可实施性，得0.5分。3、针对性:针对性强，得3分;针对性一般，得2分;缺乏针对性，得0.5分。 4、不提供此项的，不得分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安装调试方案.docx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售后方案</w:t>
            </w:r>
          </w:p>
        </w:tc>
        <w:tc>
          <w:tcPr>
            <w:tcW w:type="dxa" w:w="2492"/>
          </w:tcPr>
          <w:p>
            <w:pPr>
              <w:pStyle w:val="null3"/>
            </w:pPr>
            <w:r>
              <w:rPr>
                <w:rFonts w:ascii="仿宋_GB2312" w:hAnsi="仿宋_GB2312" w:cs="仿宋_GB2312" w:eastAsia="仿宋_GB2312"/>
              </w:rPr>
              <w:t>一、评审内容：供应商针对本项目编制完善的售后方案，内容包含但不限于：①售后服务承诺；②备品备件及专用耗材保障；③质保期间的响应保障；④售后服务网点。 二、评审标准： 1、完整性：方案必须全面，对评审内容中的各项要求有详细描述； 2、可实施性：切合本项目实际情况，提出步骤清晰、合理的方案； 3、针对性：方案能够紧扣项目实际情况，内容科学合理。 三、赋分标准（满分12分）： 1、方案内容完整全面，对上述各项内容均有描述及说明，得4分;缺1项，扣1分。2、可实施性:可实施性强，得4分;可实施性一般，得2分;缺乏可实施性，得1分。3、针对性:针对性强，得4分;针对性一般，得2分;缺乏针对性，得1分。4、不提供此项的，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售后服务.docx</w:t>
            </w:r>
          </w:p>
          <w:p>
            <w:pPr>
              <w:pStyle w:val="null3"/>
            </w:pPr>
            <w:r>
              <w:rPr>
                <w:rFonts w:ascii="仿宋_GB2312" w:hAnsi="仿宋_GB2312" w:cs="仿宋_GB2312" w:eastAsia="仿宋_GB2312"/>
              </w:rPr>
              <w:t>供应商认为需要提供的其他内容.pdf</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一、评审内容：供应商针对本项目编制完善的培训方案，内容包含但不限于：①培训目标、内容；②培训方式、周期。 二、评审标准： 1、完整性：方案必须全面，对评审内容中的各项要求有详细描述； 2、可实施性：切合本项目实际情况，提出步骤清晰、合理的方案； 3、针对性：方案能够紧扣项目实际情况，内容科学合理。 三、赋分标准（满分6分）：1、方案内容完整全面，对上述各项内容均有描述及说明，得2分;缺1项，扣1分。2、可实施性:可实施性强，得2分;可实施性一般，得1分;缺乏可实施性，得0.5分。3、针对性:针对性强，得2分;针对性一般，得1分;缺乏针对性，得0.5分。 4、不提供此项的，不得分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供应商认为需要提供的其他内容.pdf</w:t>
            </w:r>
          </w:p>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提供供应商2023年1月1日至今类似项目合同（以合同签订日期为准），每提供1个得1.5分，最高得3分。备注：响应文件中提供合同复印件（包含关键页，双方盖章页）。</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p>
            <w:pPr>
              <w:pStyle w:val="null3"/>
            </w:pPr>
            <w:r>
              <w:rPr>
                <w:rFonts w:ascii="仿宋_GB2312" w:hAnsi="仿宋_GB2312" w:cs="仿宋_GB2312" w:eastAsia="仿宋_GB2312"/>
              </w:rPr>
              <w:t>供应商认为需要提供的其他内容.pdf</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 价格分=(评标基准价／投标报价)×报价分值 (四舍五入后保留小数点后两位） 。 注：1、本项目专门面向中小企业采购，评审时不再进行价格扣除。</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详见附件：供应商应提交的相关资格证明材料.pdf</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详见附件：实施方案.docx</w:t>
      </w:r>
    </w:p>
    <w:p>
      <w:pPr>
        <w:pStyle w:val="null3"/>
        <w:ind w:firstLine="960"/>
      </w:pPr>
      <w:r>
        <w:rPr>
          <w:rFonts w:ascii="仿宋_GB2312" w:hAnsi="仿宋_GB2312" w:cs="仿宋_GB2312" w:eastAsia="仿宋_GB2312"/>
        </w:rPr>
        <w:t>详见附件：售后服务.docx</w:t>
      </w:r>
    </w:p>
    <w:p>
      <w:pPr>
        <w:pStyle w:val="null3"/>
        <w:ind w:firstLine="960"/>
      </w:pPr>
      <w:r>
        <w:rPr>
          <w:rFonts w:ascii="仿宋_GB2312" w:hAnsi="仿宋_GB2312" w:cs="仿宋_GB2312" w:eastAsia="仿宋_GB2312"/>
        </w:rPr>
        <w:t>详见附件：质量保证措施方案.docx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详见附件：安全方案.docx</w:t>
      </w:r>
    </w:p>
    <w:p>
      <w:pPr>
        <w:pStyle w:val="null3"/>
        <w:ind w:firstLine="960"/>
      </w:pPr>
      <w:r>
        <w:rPr>
          <w:rFonts w:ascii="仿宋_GB2312" w:hAnsi="仿宋_GB2312" w:cs="仿宋_GB2312" w:eastAsia="仿宋_GB2312"/>
        </w:rPr>
        <w:t>详见附件：安装调试方案.docx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详见附件：供应商认为需要提供的其他内容.pdf</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详见附件：政府采购合同-货物（试行）.docx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