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版本号：政采-留坝县-2026-0000620260206001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留侯镇营盘村风貌控制规划、安置点修建性详细规划调整完善项目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政采-留坝县-2026-00006</w:t>
      </w:r>
      <w:r>
        <w:br/>
      </w:r>
      <w:r>
        <w:br/>
      </w:r>
      <w:r>
        <w:br/>
      </w:r>
    </w:p>
    <w:p>
      <w:pPr>
        <w:pStyle w:val="null3"/>
        <w:jc w:val="center"/>
        <w:outlineLvl w:val="2"/>
      </w:pPr>
      <w:r>
        <w:rPr>
          <w:rFonts w:ascii="仿宋_GB2312" w:hAnsi="仿宋_GB2312" w:cs="仿宋_GB2312" w:eastAsia="仿宋_GB2312"/>
          <w:sz w:val="28"/>
          <w:b/>
        </w:rPr>
        <w:t>留坝县留侯镇人民政府</w:t>
      </w:r>
    </w:p>
    <w:p>
      <w:pPr>
        <w:pStyle w:val="null3"/>
        <w:jc w:val="center"/>
        <w:outlineLvl w:val="2"/>
      </w:pPr>
      <w:r>
        <w:rPr>
          <w:rFonts w:ascii="仿宋_GB2312" w:hAnsi="仿宋_GB2312" w:cs="仿宋_GB2312" w:eastAsia="仿宋_GB2312"/>
          <w:sz w:val="28"/>
          <w:b/>
        </w:rPr>
        <w:t>大邦管理咨询有限公司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大邦管理咨询有限公司</w:t>
      </w:r>
      <w:r>
        <w:rPr>
          <w:rFonts w:ascii="仿宋_GB2312" w:hAnsi="仿宋_GB2312" w:cs="仿宋_GB2312" w:eastAsia="仿宋_GB2312"/>
        </w:rPr>
        <w:t>（以下简称“代理机构”）受</w:t>
      </w:r>
      <w:r>
        <w:rPr>
          <w:rFonts w:ascii="仿宋_GB2312" w:hAnsi="仿宋_GB2312" w:cs="仿宋_GB2312" w:eastAsia="仿宋_GB2312"/>
        </w:rPr>
        <w:t>留坝县留侯镇人民政府</w:t>
      </w:r>
      <w:r>
        <w:rPr>
          <w:rFonts w:ascii="仿宋_GB2312" w:hAnsi="仿宋_GB2312" w:cs="仿宋_GB2312" w:eastAsia="仿宋_GB2312"/>
        </w:rPr>
        <w:t>委托，拟对</w:t>
      </w:r>
      <w:r>
        <w:rPr>
          <w:rFonts w:ascii="仿宋_GB2312" w:hAnsi="仿宋_GB2312" w:cs="仿宋_GB2312" w:eastAsia="仿宋_GB2312"/>
        </w:rPr>
        <w:t>留侯镇营盘村风貌控制规划、安置点修建性详细规划调整完善项目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政采-留坝县-2026-00006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留侯镇营盘村风貌控制规划、安置点修建性详细规划调整完善项目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CDATA[编制<<营盘街区风貌规划>><<营盘村北关安置点修建性详规>>,后期营盘街道群众、北关安置点群众建房将分别按照<<营盘街区风貌规划>><<营盘村北关安置点修建性详规>>相关规定执行，营盘街区将成为风貌统一、功能完善的特色街区。通过优化、调整、完善规划，以使该规划更加符合当地实际、趋于合理，指导村民有序合理建设，有效实施规划管理，统筹村庄居民点布局，对集中居民点建筑和环境风貌提出引导建议和管控要求，明确建设控制指标，凸显当地特色。以便当地搬迁群众搬迁后生活环境更加舒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采购包1（留侯镇营盘村风貌控制规划、安置点修建性详细规划调整完善项目）：属于专门面向中小企业采购。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2、法定代表人授权委托书：法定代表人授权委托书（附法定代表人身份证复印件）及被授权委托人身份证（法定代表人参加投标须提供法定代表人身份证及法人身份证明）</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4、资质要求：供应商具备相关行政主管部门颁发的城乡规划（国土空间规划）编制乙级（含乙级）及以上资质；</w:t>
      </w:r>
    </w:p>
    <w:p>
      <w:pPr>
        <w:pStyle w:val="null3"/>
      </w:pPr>
      <w:r>
        <w:rPr>
          <w:rFonts w:ascii="仿宋_GB2312" w:hAnsi="仿宋_GB2312" w:cs="仿宋_GB2312" w:eastAsia="仿宋_GB2312"/>
        </w:rPr>
        <w:t>5、项目负责人资格要求：拟派项目负责人须具有注册城乡规划师或城乡规划相关专业中级及以上工程师职称证书；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留坝县留侯镇人民政府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留候镇枣木栏村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15229079087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大邦管理咨询有限公司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汉中市汉台区前进西路与西一环十字西南 200 米(天泓超市三楼）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唐心怡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19992772013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不属于</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开户名称：大邦管理咨询有限公司</w:t>
            </w:r>
          </w:p>
          <w:p>
            <w:pPr>
              <w:pStyle w:val="null3"/>
            </w:pPr>
            <w:r>
              <w:rPr>
                <w:rFonts w:ascii="仿宋_GB2312" w:hAnsi="仿宋_GB2312" w:cs="仿宋_GB2312" w:eastAsia="仿宋_GB2312"/>
              </w:rPr>
              <w:t>开户银行：中国建设银行股份有限公司西安电子城支行</w:t>
            </w:r>
          </w:p>
          <w:p>
            <w:pPr>
              <w:pStyle w:val="null3"/>
            </w:pPr>
            <w:r>
              <w:rPr>
                <w:rFonts w:ascii="仿宋_GB2312" w:hAnsi="仿宋_GB2312" w:cs="仿宋_GB2312" w:eastAsia="仿宋_GB2312"/>
              </w:rPr>
              <w:t>银行账号：61050192380000001067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代理服务费收费标准：采购代理服务费参照国家计委颁布的《招标代理服务收费管理暂行办法》(计价格[2002]1980号)号文件收费标准收取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留坝县留侯镇人民政府</w:t>
      </w:r>
      <w:r>
        <w:rPr>
          <w:rFonts w:ascii="仿宋_GB2312" w:hAnsi="仿宋_GB2312" w:cs="仿宋_GB2312" w:eastAsia="仿宋_GB2312"/>
        </w:rPr>
        <w:t>和</w:t>
      </w:r>
      <w:r>
        <w:rPr>
          <w:rFonts w:ascii="仿宋_GB2312" w:hAnsi="仿宋_GB2312" w:cs="仿宋_GB2312" w:eastAsia="仿宋_GB2312"/>
        </w:rPr>
        <w:t>大邦管理咨询有限公司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留坝县留侯镇人民政府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大邦管理咨询有限公司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留坝县留侯镇人民政府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大邦管理咨询有限公司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成果文件通过专家论证或主管部门审核通过；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大邦管理咨询有限公司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大邦管理咨询有限公司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大邦管理咨询有限公司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联系人：唐心怡</w:t>
      </w:r>
    </w:p>
    <w:p>
      <w:pPr>
        <w:pStyle w:val="null3"/>
      </w:pPr>
      <w:r>
        <w:rPr>
          <w:rFonts w:ascii="仿宋_GB2312" w:hAnsi="仿宋_GB2312" w:cs="仿宋_GB2312" w:eastAsia="仿宋_GB2312"/>
        </w:rPr>
        <w:t>联系电话：19992772013</w:t>
      </w:r>
    </w:p>
    <w:p>
      <w:pPr>
        <w:pStyle w:val="null3"/>
      </w:pPr>
      <w:r>
        <w:rPr>
          <w:rFonts w:ascii="仿宋_GB2312" w:hAnsi="仿宋_GB2312" w:cs="仿宋_GB2312" w:eastAsia="仿宋_GB2312"/>
        </w:rPr>
        <w:t>地址：汉中市汉台区前进西路与西一环十字西南 200 米(天泓超市三楼）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CDATA[编制<<营盘街区风貌规划>><<营盘村北关安置点修建性详规>>,后期营盘街道群众、北关安置点群众建房将分别按照<<营盘街区风貌规划>><<营盘村北关安置点修建性详规>>相关规定执行，营盘街区将成为风貌统一、功能完善的特色街区。通过优化、调整、完善规划，以使该规划更加符合当地实际、趋于合理，指导村民有序合理建设，有效实施规划管理，统筹村庄居民点布局，对集中居民点建筑和环境风貌提出引导建议和管控要求，明确建设控制指标，凸显当地特色。以便当地搬迁群众搬迁后生活环境更加舒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留侯镇营盘村风貌控制规划安置点修建性详细规划调整完善项目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标的名称：留侯镇营盘村风貌控制规划安置点修建性详细规划调整完善项目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8"/>
              </w:rPr>
              <w:t>一、</w:t>
            </w:r>
            <w:r>
              <w:rPr>
                <w:rFonts w:ascii="仿宋_GB2312" w:hAnsi="仿宋_GB2312" w:cs="仿宋_GB2312" w:eastAsia="仿宋_GB2312"/>
                <w:sz w:val="28"/>
              </w:rPr>
              <w:t>项目背景与总体定位</w:t>
            </w:r>
          </w:p>
          <w:p>
            <w:pPr>
              <w:pStyle w:val="null3"/>
              <w:ind w:firstLine="560"/>
              <w:jc w:val="both"/>
            </w:pPr>
            <w:r>
              <w:rPr>
                <w:rFonts w:ascii="仿宋_GB2312" w:hAnsi="仿宋_GB2312" w:cs="仿宋_GB2312" w:eastAsia="仿宋_GB2312"/>
                <w:sz w:val="28"/>
              </w:rPr>
              <w:t>为深入贯彻乡村振兴战略，落实《农村人居环境整治提升五年行动方案（</w:t>
            </w:r>
            <w:r>
              <w:rPr>
                <w:rFonts w:ascii="仿宋_GB2312" w:hAnsi="仿宋_GB2312" w:cs="仿宋_GB2312" w:eastAsia="仿宋_GB2312"/>
                <w:sz w:val="28"/>
              </w:rPr>
              <w:t>2021-2025）》及移民搬迁安置政策，留侯镇营盘村亟需系统开展风貌控制与安置点建设规划。营盘村位于紫柏山南麓，属留侯镇西北部，是留坝县运动休闲特色小镇的核心区域，具备良好的生态资源与旅游发展基础。规划以“城郊融合类村庄”为定位，依托陕南传统民居风貌与运动休闲产业，统筹村庄整体风貌提升与移民安置点建设，旨在打造“宜居、宜业、宜游”的现代化乡村安置社区，促进村庄风貌协调、功能完善与环境优化。</w:t>
            </w:r>
          </w:p>
          <w:p>
            <w:pPr>
              <w:pStyle w:val="null3"/>
              <w:jc w:val="both"/>
            </w:pPr>
            <w:r>
              <w:rPr>
                <w:rFonts w:ascii="仿宋_GB2312" w:hAnsi="仿宋_GB2312" w:cs="仿宋_GB2312" w:eastAsia="仿宋_GB2312"/>
                <w:sz w:val="28"/>
              </w:rPr>
              <w:t>二、</w:t>
            </w:r>
            <w:r>
              <w:rPr>
                <w:rFonts w:ascii="仿宋_GB2312" w:hAnsi="仿宋_GB2312" w:cs="仿宋_GB2312" w:eastAsia="仿宋_GB2312"/>
                <w:sz w:val="28"/>
              </w:rPr>
              <w:t>规划目标</w:t>
            </w:r>
          </w:p>
          <w:p>
            <w:pPr>
              <w:pStyle w:val="null3"/>
              <w:ind w:firstLine="560"/>
              <w:jc w:val="both"/>
            </w:pPr>
            <w:r>
              <w:rPr>
                <w:rFonts w:ascii="仿宋_GB2312" w:hAnsi="仿宋_GB2312" w:cs="仿宋_GB2312" w:eastAsia="仿宋_GB2312"/>
                <w:sz w:val="28"/>
              </w:rPr>
              <w:t>一是构建符合营盘村地域特色的整体风貌体系，保护山水格局与传统空间肌理，延续</w:t>
            </w:r>
            <w:r>
              <w:rPr>
                <w:rFonts w:ascii="仿宋_GB2312" w:hAnsi="仿宋_GB2312" w:cs="仿宋_GB2312" w:eastAsia="仿宋_GB2312"/>
                <w:sz w:val="28"/>
              </w:rPr>
              <w:t>“白墙灰瓦”的陕南民居风格，形成协调统一、富有韵味的村庄景观；二是建设生态、环保、低耗、宜居的移民安置点，满足27户搬迁群众住房需求，完善道路、绿化、给排水、电力、燃气等基础设施与公共服务配套；三是提升村庄人居环境质量，通过风貌整治、公共空间塑造、景观系统优化等措施，增强村民归属感与生活品质；四是促进产业融合发展，衔接运动休闲特色小镇规划，推动旅游服务功能提升，实现村庄可持续发展。</w:t>
            </w:r>
          </w:p>
          <w:p>
            <w:pPr>
              <w:pStyle w:val="null3"/>
              <w:jc w:val="both"/>
            </w:pPr>
            <w:r>
              <w:rPr>
                <w:rFonts w:ascii="仿宋_GB2312" w:hAnsi="仿宋_GB2312" w:cs="仿宋_GB2312" w:eastAsia="仿宋_GB2312"/>
                <w:sz w:val="28"/>
              </w:rPr>
              <w:t>三、</w:t>
            </w:r>
            <w:r>
              <w:rPr>
                <w:rFonts w:ascii="仿宋_GB2312" w:hAnsi="仿宋_GB2312" w:cs="仿宋_GB2312" w:eastAsia="仿宋_GB2312"/>
                <w:sz w:val="28"/>
              </w:rPr>
              <w:t>具体服务内容</w:t>
            </w:r>
          </w:p>
          <w:p>
            <w:pPr>
              <w:pStyle w:val="null3"/>
              <w:ind w:firstLine="560"/>
              <w:jc w:val="both"/>
            </w:pPr>
            <w:r>
              <w:rPr>
                <w:rFonts w:ascii="仿宋_GB2312" w:hAnsi="仿宋_GB2312" w:cs="仿宋_GB2312" w:eastAsia="仿宋_GB2312"/>
                <w:sz w:val="28"/>
              </w:rPr>
              <w:t>1. 编制营盘村风貌控制规划，明确建筑高度、布局、色彩、材质等控制要求，提出传统建筑保留修复、现代建筑改造提升、新中式建筑引导新建的分类控制措施；2. 完成营盘村安置点修建性详细规划，包括总平面设计、建筑布局、道路交通、竖向设计、绿地景观及专项工程规划（给排水、电力、通信、燃气、环卫等）；3. 开展现状调研与公众参与，对接农户意愿，协调现状建设与规划关系；4. 提出节能减排、综合防灾（抗震、消防）等专项规划内容；5. 形成规划成果文件，包括规划文本、图集、说明书及相关技术附件。</w:t>
            </w:r>
          </w:p>
          <w:p>
            <w:pPr>
              <w:pStyle w:val="null3"/>
              <w:jc w:val="both"/>
            </w:pPr>
            <w:r>
              <w:rPr>
                <w:rFonts w:ascii="仿宋_GB2312" w:hAnsi="仿宋_GB2312" w:cs="仿宋_GB2312" w:eastAsia="仿宋_GB2312"/>
                <w:sz w:val="28"/>
              </w:rPr>
              <w:t>四、</w:t>
            </w:r>
            <w:r>
              <w:rPr>
                <w:rFonts w:ascii="仿宋_GB2312" w:hAnsi="仿宋_GB2312" w:cs="仿宋_GB2312" w:eastAsia="仿宋_GB2312"/>
                <w:sz w:val="28"/>
              </w:rPr>
              <w:t>成果要求</w:t>
            </w:r>
          </w:p>
          <w:p>
            <w:pPr>
              <w:pStyle w:val="null3"/>
              <w:numPr>
                <w:ilvl w:val="0"/>
                <w:numId w:val="1"/>
              </w:numPr>
              <w:jc w:val="both"/>
            </w:pPr>
            <w:r>
              <w:rPr>
                <w:rFonts w:ascii="仿宋_GB2312" w:hAnsi="仿宋_GB2312" w:cs="仿宋_GB2312" w:eastAsia="仿宋_GB2312"/>
                <w:sz w:val="28"/>
              </w:rPr>
              <w:t>规划文本完整、逻辑清晰，符合国家及地方相关法律法规、标准规范；</w:t>
            </w:r>
            <w:r>
              <w:rPr>
                <w:rFonts w:ascii="仿宋_GB2312" w:hAnsi="仿宋_GB2312" w:cs="仿宋_GB2312" w:eastAsia="仿宋_GB2312"/>
                <w:sz w:val="28"/>
              </w:rPr>
              <w:t>2. 图件齐全，含区位图、现状分析图、规划总平面图、风貌分区图、建筑控制图、景观结构图、工程规划图等；3. 规划指标明确，包括用地面积、建筑面积、容积率、建筑密度、绿地率、安置户数等经济技术指标；4. 提供项目实施建议与投资估算，确保规划可操作、可落地。</w:t>
            </w:r>
          </w:p>
          <w:p>
            <w:pPr>
              <w:pStyle w:val="null3"/>
              <w:jc w:val="both"/>
            </w:pPr>
            <w:r>
              <w:rPr>
                <w:rFonts w:ascii="仿宋_GB2312" w:hAnsi="仿宋_GB2312" w:cs="仿宋_GB2312" w:eastAsia="仿宋_GB2312"/>
                <w:sz w:val="28"/>
              </w:rPr>
              <w:t>五、质量标准：成果文件符合国家、省及行业现行相关标准、规范和招标人要求，确保数据完整、真实准确、清晰有据。</w:t>
            </w:r>
          </w:p>
          <w:p>
            <w:pPr>
              <w:pStyle w:val="null3"/>
              <w:jc w:val="both"/>
            </w:pPr>
            <w:r>
              <w:rPr>
                <w:rFonts w:ascii="仿宋_GB2312" w:hAnsi="仿宋_GB2312" w:cs="仿宋_GB2312" w:eastAsia="仿宋_GB2312"/>
                <w:sz w:val="28"/>
              </w:rPr>
              <w:t>六、服务期限</w:t>
            </w:r>
          </w:p>
          <w:p>
            <w:pPr>
              <w:pStyle w:val="null3"/>
              <w:jc w:val="both"/>
            </w:pPr>
            <w:r>
              <w:rPr>
                <w:rFonts w:ascii="仿宋_GB2312" w:hAnsi="仿宋_GB2312" w:cs="仿宋_GB2312" w:eastAsia="仿宋_GB2312"/>
                <w:sz w:val="28"/>
              </w:rPr>
              <w:t>服务期限：合同签订之日起</w:t>
            </w:r>
            <w:r>
              <w:rPr>
                <w:rFonts w:ascii="仿宋_GB2312" w:hAnsi="仿宋_GB2312" w:cs="仿宋_GB2312" w:eastAsia="仿宋_GB2312"/>
                <w:sz w:val="28"/>
                <w:u w:val="single"/>
              </w:rPr>
              <w:t xml:space="preserve"> </w:t>
            </w:r>
            <w:r>
              <w:rPr>
                <w:rFonts w:ascii="仿宋_GB2312" w:hAnsi="仿宋_GB2312" w:cs="仿宋_GB2312" w:eastAsia="仿宋_GB2312"/>
                <w:sz w:val="28"/>
                <w:u w:val="single"/>
              </w:rPr>
              <w:t xml:space="preserve">60 </w:t>
            </w:r>
            <w:r>
              <w:rPr>
                <w:rFonts w:ascii="仿宋_GB2312" w:hAnsi="仿宋_GB2312" w:cs="仿宋_GB2312" w:eastAsia="仿宋_GB2312"/>
                <w:sz w:val="28"/>
              </w:rPr>
              <w:t>天</w:t>
            </w:r>
          </w:p>
          <w:p>
            <w:pPr>
              <w:pStyle w:val="null3"/>
              <w:jc w:val="both"/>
            </w:pPr>
            <w:r>
              <w:rPr>
                <w:rFonts w:ascii="仿宋_GB2312" w:hAnsi="仿宋_GB2312" w:cs="仿宋_GB2312" w:eastAsia="仿宋_GB2312"/>
                <w:sz w:val="28"/>
              </w:rPr>
              <w:t>七、成果交付形式</w:t>
            </w:r>
          </w:p>
          <w:p>
            <w:pPr>
              <w:pStyle w:val="null3"/>
              <w:jc w:val="both"/>
            </w:pPr>
            <w:r>
              <w:rPr>
                <w:rFonts w:ascii="仿宋_GB2312" w:hAnsi="仿宋_GB2312" w:cs="仿宋_GB2312" w:eastAsia="仿宋_GB2312"/>
                <w:sz w:val="28"/>
              </w:rPr>
              <w:t>电子版：数据库、</w:t>
            </w:r>
            <w:r>
              <w:rPr>
                <w:rFonts w:ascii="仿宋_GB2312" w:hAnsi="仿宋_GB2312" w:cs="仿宋_GB2312" w:eastAsia="仿宋_GB2312"/>
                <w:sz w:val="28"/>
              </w:rPr>
              <w:t>DWG、PDF、Word及可编辑格式文件各一份；</w:t>
            </w:r>
            <w:r>
              <w:br/>
            </w:r>
            <w:r>
              <w:rPr>
                <w:rFonts w:ascii="仿宋_GB2312" w:hAnsi="仿宋_GB2312" w:cs="仿宋_GB2312" w:eastAsia="仿宋_GB2312"/>
                <w:sz w:val="28"/>
              </w:rPr>
              <w:t>纸质版：成果文本</w:t>
            </w:r>
            <w:r>
              <w:rPr>
                <w:rFonts w:ascii="仿宋_GB2312" w:hAnsi="仿宋_GB2312" w:cs="仿宋_GB2312" w:eastAsia="仿宋_GB2312"/>
                <w:sz w:val="28"/>
              </w:rPr>
              <w:t>3份、图纸汇编2套；</w:t>
            </w:r>
            <w:r>
              <w:br/>
            </w:r>
            <w:r>
              <w:rPr>
                <w:rFonts w:ascii="仿宋_GB2312" w:hAnsi="仿宋_GB2312" w:cs="仿宋_GB2312" w:eastAsia="仿宋_GB2312"/>
                <w:sz w:val="28"/>
              </w:rPr>
              <w:t>提供汇报用</w:t>
            </w:r>
            <w:r>
              <w:rPr>
                <w:rFonts w:ascii="仿宋_GB2312" w:hAnsi="仿宋_GB2312" w:cs="仿宋_GB2312" w:eastAsia="仿宋_GB2312"/>
                <w:sz w:val="28"/>
              </w:rPr>
              <w:t>PPT及展示图册版本。</w:t>
            </w:r>
          </w:p>
          <w:p>
            <w:pPr>
              <w:pStyle w:val="null3"/>
              <w:jc w:val="both"/>
            </w:pPr>
            <w:r>
              <w:rPr>
                <w:rFonts w:ascii="仿宋_GB2312" w:hAnsi="仿宋_GB2312" w:cs="仿宋_GB2312" w:eastAsia="仿宋_GB2312"/>
                <w:sz w:val="28"/>
              </w:rPr>
              <w:t>八、知识产权</w:t>
            </w:r>
          </w:p>
          <w:p>
            <w:pPr>
              <w:pStyle w:val="null3"/>
              <w:jc w:val="both"/>
            </w:pPr>
            <w:r>
              <w:rPr>
                <w:rFonts w:ascii="仿宋_GB2312" w:hAnsi="仿宋_GB2312" w:cs="仿宋_GB2312" w:eastAsia="仿宋_GB2312"/>
                <w:sz w:val="28"/>
              </w:rPr>
              <w:t>采购人在中华人民共和国境内使用投标人提供的货物及服务时免受第三方提出的侵犯其专利权或其它知识产权的起诉。如果第三方提出侵权指控，中标人应承担由此而引起的一切法律责任和费用。</w:t>
            </w:r>
          </w:p>
          <w:p>
            <w:pPr>
              <w:pStyle w:val="null3"/>
              <w:jc w:val="both"/>
            </w:pPr>
            <w:r>
              <w:rPr>
                <w:rFonts w:ascii="仿宋_GB2312" w:hAnsi="仿宋_GB2312" w:cs="仿宋_GB2312" w:eastAsia="仿宋_GB2312"/>
                <w:sz w:val="28"/>
              </w:rPr>
              <w:t>最终成果的版权归采购人和成交人双方共有，中标人不得私自使用。</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满足执行项目要求。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留坝县留侯镇营盘村</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成果文件通过专家论证或主管部门审核通过；</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合同签订后乙方提供普通增值税发票或电子发票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成果文件通过专家论证或主管部门审核通过后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甲乙双方在合同履行中发生争议，应通过协商解决。如协商不成，可以向用方所在地有管辖权的人民法院提起诉讼。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法定代表人授权委托书（附法定代表人身份证复印件）及被授权委托人身份证（法定代表人参加投标须提供法定代表人身份证及法人身份证明）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供应商具备相关行政主管部门颁发的城乡规划（国土空间规划）编制乙级（含乙级）及以上资质；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项目负责人资格要求</w:t>
            </w:r>
          </w:p>
        </w:tc>
        <w:tc>
          <w:tcPr>
            <w:tcW w:type="dxa" w:w="3322"/>
          </w:tcPr>
          <w:p>
            <w:pPr>
              <w:pStyle w:val="null3"/>
            </w:pPr>
            <w:r>
              <w:rPr>
                <w:rFonts w:ascii="仿宋_GB2312" w:hAnsi="仿宋_GB2312" w:cs="仿宋_GB2312" w:eastAsia="仿宋_GB2312"/>
              </w:rPr>
              <w:t>拟派项目负责人须具有注册城乡规划师或城乡规划相关专业中级及以上工程师职称证书；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响应文件按竞争性磋商文件要求进行电子签章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服务方案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根据供应商针对本项目的理解程度进行评审，对项目的理解应包含：①对相关政策解读和基本情况分析；②对项目背景的研判；③专业资料的搜集与内容梳理；④实地调研与考察方案；⑤对发展现状的认识。 二、评审标准：①完整性：内容全面，对评审内容中的各项要求有详细描述； ②可行性：切合本项目实际情况，有清晰的方案； ③专业性：逻辑性强，具有专业含量和水准。 ④针对性：紧扣项目实际情况需求，内容切实合理； 三、赋分标准（满分20分）： ①对相关政策解读和基本情况分析：每满足一个评审标准的得1分，满分4分；每有一处有缺陷或瑕疵扣1分，扣完为止。 ②对项目背景的研判：每满足一个评审标准的得1分，满分4分；每有一处有缺陷或瑕疵扣1分，扣完为止。 ③专业资料的搜集与内容梳理：每满足一个评审标准的得1分，满分4分；每有一处有缺陷或瑕疵扣1分，扣完为止。 ④实地调研与考察方案：每满足一个评审标准的得1分，满分4分；每有一处有缺陷或瑕疵扣1分，扣完为止。 ⑤对发展现状的认识：每满足一个评审标准的得1分，满分4分；每有一处有缺陷或瑕疵扣1分，扣完为止。 （缺陷或瑕疵是指以下任意一种情况：方案内容不符合行业实际或国家法规、政策；或方案内容生搬硬造，与实际情况不符，存在偏差；或方案内容不完善；或存在与项目无关的文字内容；或内容不适用项目实际情况；或内容逻辑漏洞或原理错误；或方案内容过于简略、内容缺项或缺少关键点、只有简单描述无实质性内容。</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一、评审内容：根据供应商针对本项目提供的总体服务方案进行评审，该方案包含：①项目实施方案；②总体工作思路；③总体工作计划；④具体工作目标及内容； 二、评审标准：①完整性：内容全面，对评审内容中的各项要求有详细描述； ②可行性：切合本项目实际情况，有清晰的方案； ③专业性：逻辑性强，具有专业含量和水准。 ④针对性：紧扣项目实际情况需求，内容切实合理； 三、赋分标准（满分24分）： ①项目实施方案：每满足一个评审标准的得1.5分，满分6分；每有一处有缺陷或瑕疵扣1分，扣完为止。 ②总体工作思路：每满足一个评审标准的得1.5分，满分6分；每有一处有缺陷或瑕疵扣1分，扣完为止。 ③总体工作计划：每满足一个评审标准的得1.5分，满分6分；每有一处有缺陷或瑕疵扣1分，扣完为止。 ④具体工作目标及内容：每满足一个评审标准的得1.5分，满分6分；每有一处有缺陷或瑕疵扣1分，扣完为止。 （缺陷或瑕疵是指以下任意一种情况：方案内容不符合行业实际或国家法规、政策；或方案内容生搬硬造，与实际情况不符，存在偏差；或方案内容不完善；或存在与项目无关的文字内容；或内容不适用项目实际情况；或内容逻辑漏洞或原理错误；或方案内容过于简略、内容缺项或缺少关键点、只有简单描述无实质性内容。</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根据供应商针对本项目提供的管理制度进行评审，该方案包含：①岗位制度：具有岗位职责、服务质量标准；②内控制度：具有管理组织机构、内部管理制度、监督机制；③人员管理制度：具有员工日常管理办法、奖惩措施。 二、评审标准：①完整性：内容全面，对评审内容中的各项要求有详细描述； ②可行性：切合本项目实际情况，有清晰的方案； ③专业性：逻辑性强，具有专业含量和水准。 ④针对性：紧扣项目实际情况需求，内容切实合理； 三、赋分标准（满分6分）： ①岗位制度：每满足一个评审标准的得0.5分，满分2分；每有一处有缺陷或瑕疵扣0.5分，扣完为止。 ②内控制度：每满足一个评审标准的得0.5分，满分2分；每有一处有缺陷或瑕疵扣0.5分，扣完为止。 ③人员管理制度：每满足一个评审标准的得0.5分，满分2分；每有一处有缺陷或瑕疵扣0.5分，扣完为止。 （缺陷或瑕疵是指以下任意一种情况：方案内容不符合行业实际或国家法规、政策；或方案内容生搬硬造，与实际情况不符，存在偏差；或方案内容不完善；或存在与项目无关的文字内容；或内容不适用项目实际情况；或内容逻辑漏洞或原理错误；或方案内容过于简略、内容缺项或缺少关键点、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一、评审内容：根据供应商针对本项目提供的质量保证措施进行评审，该方案包含：①服务质量目标；②针对本项目质量管理制度；③成果文件质量保障措施；④内部管控流程合理； 二、评审标准：①完整性：内容全面，对评审内容中的各项要求有详细描述； ②可行性：切合本项目实际情况，有清晰的方案； ③专业性：逻辑性强，具有专业含量和水准。 ④针对性：紧扣项目实际情况需求，内容切实合理； 三、赋分标准（满分8分）： ①服务质量目标：每满足一个评审标准的得0.5分，满分2分；每有一处有缺陷或瑕疵扣0.5分，扣完为止。 ②针对本项目质量管理制度：每满足一个评审标准的得0.5分，满分2分；每有一处有缺陷或瑕疵扣0.5分，扣完为止。 ③成果文件质量保障措施：每满足一个评审标准的得0.5分，满分2分；每有一处有缺陷或瑕疵扣0.5分，扣完为止。 ④内部管控流程合理：每满足一个评审标准的得0.5分，满分2分；每有一处有缺陷或瑕疵扣0.5分，扣完为止。 （缺陷或瑕疵是指以下任意一种情况：方案内容不符合行业实际或国家法规、政策；或方案内容生搬硬造，与实际情况不符，存在偏差；或方案内容不完善；或存在与项目无关的文字内容；或内容不适用项目实际情况；或内容逻辑漏洞或原理错误；或方案内容过于简略、内容缺项或缺少关键点、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一、评审内容：根据供应商针对本项目提供的保密措施进行评审，该方案包含：①保密工作机制；②保密条款；③保密管理制度；④重要环节控制；⑤项目信息保密管理方案； 二、评审标准：①完整性：内容全面，对评审内容中的各项要求有详细描述； ②可行性：切合本项目实际情况，有清晰的方案； ③专业性：逻辑性强，具有专业含量和水准。 ④针对性：紧扣项目实际情况需求，内容切实合理； 三、赋分标准（满分10分）： ①保密工作机制：每满足一个评审标准的得0.5分，满分2分；每有一处有缺陷或瑕疵扣0.5分，扣完为止。 ②保密条款：每满足一个评审标准的得0.5分，满分2分；每有一处有缺陷或瑕疵扣0.5分，扣完为止。 ③保密管理制度：每满足一个评审标准的得0.5分，满分2分；每有一处有缺陷或瑕疵扣0.5分，扣完为止。 ④重要环节控制：每满足一个评审标准的得0.5分，满分2分；每有一处有缺陷或瑕疵扣0.5分，扣完为止。 ⑤项目信息保密管理方案：每满足一个评审标准的得0.5分，满分2分；每有一处有缺陷或瑕疵扣0.5分，扣完为止。 （缺陷或瑕疵是指以下任意一种情况：方案内容不符合行业实际或国家法规、政策；或方案内容生搬硬造，与实际情况不符，存在偏差；或方案内容不完善；或存在与项目无关的文字内容；或内容不适用项目实际情况；或内容逻辑漏洞或原理错误；或方案内容过于简略、内容缺项或缺少关键点、只有简单描述无实质性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需求，提供实质性的合理化建议。建议清晰、合理、完整、细节考虑到位且切实可行，得3分；建议简单、可行性存在一定瑕疵，得2分；建议存在严重缺漏，不具备合理性、可行性，得1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一、评审内容：根据供应商针对本项目提供的进度保障方案进行评审，该方案包含：①进度计划保障方案；②提供合理的工作计划及时间节点；③项目进度保障措施；④成果文件时效保证；⑤突发状况应急预案； 二、评审标准： ①完整性：内容全面，对评审内容中的各项要求有详细描述； ②可行性：切合本项目实际情况，有清晰的方案； ③专业性：逻辑性强，具有专业含量和水准。 ④针对性：紧扣项目实际情况需求，内容切实合理； 三、赋分标准（满分10分）： ①进度计划保障方案：每满足一个评审标准的得0.5分，满分2分；每有一处有缺陷或瑕疵扣0.5分，扣完为止。 ②提供合理的工作计划及时间节点：每满足一个评审标准的得0.5分，满分2分；每有一处有缺陷或瑕疵扣0.5分，扣完为止。 ③项目进度保障措施：每满足一个评审标准的得0.5分，满分2分；每有一处有缺陷或瑕疵扣0.5分，扣完为止。 ④成果文件时效保证：每满足一个评审标准的得0.5分，满分2分；每有一处有缺陷或瑕疵扣0.5分，扣完为止。 ⑤突发状况应急预案；每满足一个评审标准的得0.5分，满分2分；每有一处有缺陷或瑕疵扣0.5分，扣完为止。 （缺陷或瑕疵是指以下任意一种情况：方案内容不符合行业实际或国家法规、政策；或方案内容生搬硬造，与实际情况不符，存在偏差；或方案内容不完善；或存在与项目无关的文字内容；或内容不适用项目实际情况；或内容逻辑漏洞或原理错误；或方案内容过于简略、内容缺项或缺少关键点、只有简单描述无实质性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根据供应商针对本项目提供的人员配备进行评审。项目团队人员(6分):项目负责人具有城乡规划相关专业高级(含副高)职称且具有注册城乡规划师执业资格的得2分，其他情况不得分; 除项目负责人外，其他团队人员具有城乡规划相关专业中级及以上职称，高级(含副高)职称1人得1分，中级职称1人得0.5分，满分4分。 注:供应商应提供上述人员身份证、职称证或注册证、投标前六个月任意一个月社保缴纳证明文件或劳动合同等，未提供或提供不全不得分，且以上同一人员的证书不可重复得分。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供应商须提供2023年1月至今类似项目业绩，以合同为准（时间以合同签订时间为准），每提供1个有效业绩得1分，本项最高得3分。证明材料为业绩对应的合同复印件。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满足磋商文件要求且磋商价格最低的最终磋商报价为磋商基准价，其价格分为满分。最终磋商报价高于评标基准价的磋商供应商的价格分按照下列公式计算：磋商报价得分=（磋商基准价/磋商报价）×价格分值。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