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版本号：SXAT-202602420260317001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“秦岭之夜·寻梦安山驿”留坝厅老街沉浸式演出项目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SXAT-2026024</w:t>
      </w:r>
      <w:r>
        <w:br/>
      </w:r>
      <w:r>
        <w:br/>
      </w:r>
      <w:r>
        <w:br/>
      </w:r>
    </w:p>
    <w:p>
      <w:pPr>
        <w:pStyle w:val="null3"/>
        <w:jc w:val="center"/>
        <w:outlineLvl w:val="2"/>
      </w:pPr>
      <w:r>
        <w:rPr>
          <w:rFonts w:ascii="仿宋_GB2312" w:hAnsi="仿宋_GB2312" w:cs="仿宋_GB2312" w:eastAsia="仿宋_GB2312"/>
          <w:sz w:val="28"/>
          <w:b/>
        </w:rPr>
        <w:t>留坝县文化和旅游局</w:t>
      </w:r>
    </w:p>
    <w:p>
      <w:pPr>
        <w:pStyle w:val="null3"/>
        <w:jc w:val="center"/>
        <w:outlineLvl w:val="2"/>
      </w:pPr>
      <w:r>
        <w:rPr>
          <w:rFonts w:ascii="仿宋_GB2312" w:hAnsi="仿宋_GB2312" w:cs="仿宋_GB2312" w:eastAsia="仿宋_GB2312"/>
          <w:sz w:val="28"/>
          <w:b/>
        </w:rPr>
        <w:t>傲唐集团有限公司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傲唐集团有限公司</w:t>
      </w:r>
      <w:r>
        <w:rPr>
          <w:rFonts w:ascii="仿宋_GB2312" w:hAnsi="仿宋_GB2312" w:cs="仿宋_GB2312" w:eastAsia="仿宋_GB2312"/>
        </w:rPr>
        <w:t>（以下简称“代理机构”）受</w:t>
      </w:r>
      <w:r>
        <w:rPr>
          <w:rFonts w:ascii="仿宋_GB2312" w:hAnsi="仿宋_GB2312" w:cs="仿宋_GB2312" w:eastAsia="仿宋_GB2312"/>
        </w:rPr>
        <w:t>留坝县文化和旅游局</w:t>
      </w:r>
      <w:r>
        <w:rPr>
          <w:rFonts w:ascii="仿宋_GB2312" w:hAnsi="仿宋_GB2312" w:cs="仿宋_GB2312" w:eastAsia="仿宋_GB2312"/>
        </w:rPr>
        <w:t>委托，拟对</w:t>
      </w:r>
      <w:r>
        <w:rPr>
          <w:rFonts w:ascii="仿宋_GB2312" w:hAnsi="仿宋_GB2312" w:cs="仿宋_GB2312" w:eastAsia="仿宋_GB2312"/>
        </w:rPr>
        <w:t>“秦岭之夜·寻梦安山驿”留坝厅老街沉浸式演出项目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SXAT-2026024</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“秦岭之夜·寻梦安山驿”留坝厅老街沉浸式演出项目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为打造差异化IP，深挖留坝特色文化，着手打造2026年“秦岭之夜·寻梦安山驿”留坝厅老街沉浸式实景演出。演出时间为2026年5月-10月，初步定于2026年5月上旬首次演出，演出场次预计为80场。演出内容融合历史IP（张良/韩信）沉浸式夜游留坝厅老街，采用“实景演绎+NPC+互动”模式，打造沉浸式演出。通过不同形象的历史人物与游客互动，增强游客参与感。在旅游旺季及固定时间演出，形成常态化演出机制。结合夜市美食、民宿体验形成“演艺+消费”的夜间经济，吸引游客。作为老街的核心文旅项目，演出的常态化可以延长游客停留时间，提升消费频次，带动精品民宿、餐饮和文创店铺的发展，形成“文化+商业+旅游”的完整生态。通过沉浸式体验和常态化运营，不仅提升游客体验，还助力留坝厅老街巩固国家级休闲街区的品牌价值，推动文旅产业高质量发展。</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采购包1（沉浸式演出项目）：属于专门面向中小企业采购。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为具有独立承担民事责任能力的法人或其他组织或自然人，并出具营业执照(事业法人证)或证明文件或自然人的身份证明;：供应商为具有独立承担民事责任能力的法人或其他组织或自然人，并出具营业执照(事业法人证)或证明文件或自然人的身份证明;</w:t>
      </w:r>
    </w:p>
    <w:p>
      <w:pPr>
        <w:pStyle w:val="null3"/>
      </w:pPr>
      <w:r>
        <w:rPr>
          <w:rFonts w:ascii="仿宋_GB2312" w:hAnsi="仿宋_GB2312" w:cs="仿宋_GB2312" w:eastAsia="仿宋_GB2312"/>
        </w:rPr>
        <w:t>2、法定代表人或单位负责人授权书及被授权人身份证(法定代表人或单位负责人直接参加投标除外，但须出示法定代表人或单位负责人身份证及营业执照复印件)：法定代表人或单位负责人授权书及被授权人身份证(法定代表人或单位负责人直接参加投标除外，但须出示法定代表人或单位负责人身份证及营业执照复印件)</w:t>
      </w:r>
    </w:p>
    <w:p>
      <w:pPr>
        <w:pStyle w:val="null3"/>
      </w:pPr>
      <w:r>
        <w:rPr>
          <w:rFonts w:ascii="仿宋_GB2312" w:hAnsi="仿宋_GB2312" w:cs="仿宋_GB2312" w:eastAsia="仿宋_GB2312"/>
        </w:rPr>
        <w:t>3、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提供《汉中市政府采购供应商资格承诺函》;</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留坝县文化和旅游局</w:t>
      </w:r>
    </w:p>
    <w:p>
      <w:pPr>
        <w:pStyle w:val="null3"/>
      </w:pPr>
      <w:r>
        <w:rPr>
          <w:rFonts w:ascii="仿宋_GB2312" w:hAnsi="仿宋_GB2312" w:cs="仿宋_GB2312" w:eastAsia="仿宋_GB2312"/>
        </w:rPr>
        <w:t xml:space="preserve"> 地址： </w:t>
      </w:r>
      <w:r>
        <w:rPr>
          <w:rFonts w:ascii="仿宋_GB2312" w:hAnsi="仿宋_GB2312" w:cs="仿宋_GB2312" w:eastAsia="仿宋_GB2312"/>
        </w:rPr>
        <w:t>留坝县紫柏街道办南环路中段</w:t>
      </w:r>
    </w:p>
    <w:p>
      <w:pPr>
        <w:pStyle w:val="null3"/>
      </w:pPr>
      <w:r>
        <w:rPr>
          <w:rFonts w:ascii="仿宋_GB2312" w:hAnsi="仿宋_GB2312" w:cs="仿宋_GB2312" w:eastAsia="仿宋_GB2312"/>
        </w:rPr>
        <w:t xml:space="preserve"> 邮编： </w:t>
      </w:r>
      <w:r>
        <w:rPr>
          <w:rFonts w:ascii="仿宋_GB2312" w:hAnsi="仿宋_GB2312" w:cs="仿宋_GB2312" w:eastAsia="仿宋_GB2312"/>
        </w:rPr>
        <w:t>724100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景先生</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0916-3923383</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傲唐集团有限公司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汉中市汉台区竹园天玺办公楼11楼（汉台区桥北广场东北角）</w:t>
      </w:r>
    </w:p>
    <w:p>
      <w:pPr>
        <w:pStyle w:val="null3"/>
      </w:pPr>
      <w:r>
        <w:rPr>
          <w:rFonts w:ascii="仿宋_GB2312" w:hAnsi="仿宋_GB2312" w:cs="仿宋_GB2312" w:eastAsia="仿宋_GB2312"/>
        </w:rPr>
        <w:t xml:space="preserve"> 邮编： </w:t>
      </w:r>
      <w:r>
        <w:rPr>
          <w:rFonts w:ascii="仿宋_GB2312" w:hAnsi="仿宋_GB2312" w:cs="仿宋_GB2312" w:eastAsia="仿宋_GB2312"/>
        </w:rPr>
        <w:t>723000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胡女士</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0916-2228866</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留坝县政府采购管理股</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谭女士</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0916-3921596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采购包1：1,200,000.00元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无</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无</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采购包1保证金金额：18,000.00元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开户名称：傲唐集团有限公司</w:t>
            </w:r>
          </w:p>
          <w:p>
            <w:pPr>
              <w:pStyle w:val="null3"/>
            </w:pPr>
            <w:r>
              <w:rPr>
                <w:rFonts w:ascii="仿宋_GB2312" w:hAnsi="仿宋_GB2312" w:cs="仿宋_GB2312" w:eastAsia="仿宋_GB2312"/>
              </w:rPr>
              <w:t>开户银行：中国建设银行股份有限公司汉中西环路支行</w:t>
            </w:r>
          </w:p>
          <w:p>
            <w:pPr>
              <w:pStyle w:val="null3"/>
            </w:pPr>
            <w:r>
              <w:rPr>
                <w:rFonts w:ascii="仿宋_GB2312" w:hAnsi="仿宋_GB2312" w:cs="仿宋_GB2312" w:eastAsia="仿宋_GB2312"/>
              </w:rPr>
              <w:t>银行账号：6105 0165 5000 0000 0388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参照《国家计委关于印发&lt;招标代理服务收费管理暂行办法&gt;的通知》（计价格[2002]1980号）、发改价格〔2011〕534号文及《陕西省住房和城乡建设厅文件陕价行发【2014】88号》文收费标准向采购代理机构支付代理服务费。</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留坝县文化和旅游局</w:t>
      </w:r>
      <w:r>
        <w:rPr>
          <w:rFonts w:ascii="仿宋_GB2312" w:hAnsi="仿宋_GB2312" w:cs="仿宋_GB2312" w:eastAsia="仿宋_GB2312"/>
        </w:rPr>
        <w:t>和</w:t>
      </w:r>
      <w:r>
        <w:rPr>
          <w:rFonts w:ascii="仿宋_GB2312" w:hAnsi="仿宋_GB2312" w:cs="仿宋_GB2312" w:eastAsia="仿宋_GB2312"/>
        </w:rPr>
        <w:t>傲唐集团有限公司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留坝县文化和旅游局</w:t>
      </w:r>
      <w:r>
        <w:rPr>
          <w:rFonts w:ascii="仿宋_GB2312" w:hAnsi="仿宋_GB2312" w:cs="仿宋_GB2312" w:eastAsia="仿宋_GB2312"/>
        </w:rPr>
        <w:t>负责解释。除上述磋商文件内容，其他内容由</w:t>
      </w:r>
      <w:r>
        <w:rPr>
          <w:rFonts w:ascii="仿宋_GB2312" w:hAnsi="仿宋_GB2312" w:cs="仿宋_GB2312" w:eastAsia="仿宋_GB2312"/>
        </w:rPr>
        <w:t>傲唐集团有限公司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留坝县文化和旅游局</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傲唐集团有限公司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傲唐集团有限公司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傲唐集团有限公司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联系人：胡女士</w:t>
      </w:r>
    </w:p>
    <w:p>
      <w:pPr>
        <w:pStyle w:val="null3"/>
      </w:pPr>
      <w:r>
        <w:rPr>
          <w:rFonts w:ascii="仿宋_GB2312" w:hAnsi="仿宋_GB2312" w:cs="仿宋_GB2312" w:eastAsia="仿宋_GB2312"/>
        </w:rPr>
        <w:t>联系电话：0916-2228866</w:t>
      </w:r>
    </w:p>
    <w:p>
      <w:pPr>
        <w:pStyle w:val="null3"/>
      </w:pPr>
      <w:r>
        <w:rPr>
          <w:rFonts w:ascii="仿宋_GB2312" w:hAnsi="仿宋_GB2312" w:cs="仿宋_GB2312" w:eastAsia="仿宋_GB2312"/>
        </w:rPr>
        <w:t>地址：汉中市汉台区竹园天玺办公楼11楼（汉台区桥北广场东北角）</w:t>
      </w:r>
    </w:p>
    <w:p>
      <w:pPr>
        <w:pStyle w:val="null3"/>
      </w:pPr>
      <w:r>
        <w:rPr>
          <w:rFonts w:ascii="仿宋_GB2312" w:hAnsi="仿宋_GB2312" w:cs="仿宋_GB2312" w:eastAsia="仿宋_GB2312"/>
        </w:rPr>
        <w:t>邮编：723000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为打造差异化IP，深挖留坝特色文化，着手打造2026年“秦岭之夜·寻梦安山驿”留坝厅老街沉浸式实景演出。演出时间为2026年5月-10月，初步定于2026年5月上旬首次演出，演出场次预计为80场。演出内容融合历史IP（张良/韩信）沉浸式夜游留坝厅老街，采用“实景演绎+NPC+互动”模式，打造沉浸式演出。通过不同形象的历史人物与游客互动，增强游客参与感。在旅游旺季及固定时间演出，形成常态化演出机制。结合夜市美食、民宿体验形成“演艺+消费”的夜间经济，吸引游客。作为老街的核心文旅项目，演出的常态化可以延长游客停留时间，提升消费频次，带动精品民宿、餐饮和文创店铺的发展，形成“文化+商业+旅游”的完整生态。通过沉浸式体验和常态化运营，不仅提升游客体验，还助力留坝厅老街巩固国家级休闲街区的品牌价值，推动文旅产业高质量发展。</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1,200,000.00</w:t>
      </w:r>
    </w:p>
    <w:p>
      <w:pPr>
        <w:pStyle w:val="null3"/>
      </w:pPr>
      <w:r>
        <w:rPr>
          <w:rFonts w:ascii="仿宋_GB2312" w:hAnsi="仿宋_GB2312" w:cs="仿宋_GB2312" w:eastAsia="仿宋_GB2312"/>
        </w:rPr>
        <w:t>采购包最高限价（元）: 1,200,000.00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1200000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1,200,000.00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标的名称：1200000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ind w:firstLine="422"/>
              <w:jc w:val="both"/>
            </w:pPr>
            <w:r>
              <w:rPr>
                <w:rFonts w:ascii="仿宋_GB2312" w:hAnsi="仿宋_GB2312" w:cs="仿宋_GB2312" w:eastAsia="仿宋_GB2312"/>
                <w:sz w:val="21"/>
                <w:b/>
              </w:rPr>
              <w:t>一、采购内容</w:t>
            </w:r>
          </w:p>
          <w:p>
            <w:pPr>
              <w:pStyle w:val="null3"/>
              <w:ind w:firstLine="420"/>
              <w:jc w:val="both"/>
            </w:pPr>
            <w:r>
              <w:rPr>
                <w:rFonts w:ascii="仿宋_GB2312" w:hAnsi="仿宋_GB2312" w:cs="仿宋_GB2312" w:eastAsia="仿宋_GB2312"/>
                <w:sz w:val="21"/>
              </w:rPr>
              <w:t>为打造差异化</w:t>
            </w:r>
            <w:r>
              <w:rPr>
                <w:rFonts w:ascii="仿宋_GB2312" w:hAnsi="仿宋_GB2312" w:cs="仿宋_GB2312" w:eastAsia="仿宋_GB2312"/>
                <w:sz w:val="21"/>
              </w:rPr>
              <w:t>IP</w:t>
            </w:r>
            <w:r>
              <w:rPr>
                <w:rFonts w:ascii="仿宋_GB2312" w:hAnsi="仿宋_GB2312" w:cs="仿宋_GB2312" w:eastAsia="仿宋_GB2312"/>
                <w:sz w:val="21"/>
              </w:rPr>
              <w:t xml:space="preserve">，深挖留坝特色文化，着手打造 </w:t>
            </w:r>
            <w:r>
              <w:rPr>
                <w:rFonts w:ascii="仿宋_GB2312" w:hAnsi="仿宋_GB2312" w:cs="仿宋_GB2312" w:eastAsia="仿宋_GB2312"/>
                <w:sz w:val="21"/>
              </w:rPr>
              <w:t xml:space="preserve">2026 </w:t>
            </w:r>
            <w:r>
              <w:rPr>
                <w:rFonts w:ascii="仿宋_GB2312" w:hAnsi="仿宋_GB2312" w:cs="仿宋_GB2312" w:eastAsia="仿宋_GB2312"/>
                <w:sz w:val="21"/>
              </w:rPr>
              <w:t xml:space="preserve">年“秦岭之夜·寻梦安山驿”留坝厅老街沉浸式实景演出。演出时间为 </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w:t>
            </w:r>
            <w:r>
              <w:rPr>
                <w:rFonts w:ascii="仿宋_GB2312" w:hAnsi="仿宋_GB2312" w:cs="仿宋_GB2312" w:eastAsia="仿宋_GB2312"/>
                <w:sz w:val="21"/>
              </w:rPr>
              <w:t>-10</w:t>
            </w:r>
            <w:r>
              <w:rPr>
                <w:rFonts w:ascii="仿宋_GB2312" w:hAnsi="仿宋_GB2312" w:cs="仿宋_GB2312" w:eastAsia="仿宋_GB2312"/>
                <w:sz w:val="21"/>
              </w:rPr>
              <w:t>月，初步定于</w:t>
            </w:r>
            <w:r>
              <w:rPr>
                <w:rFonts w:ascii="仿宋_GB2312" w:hAnsi="仿宋_GB2312" w:cs="仿宋_GB2312" w:eastAsia="仿宋_GB2312"/>
                <w:sz w:val="21"/>
              </w:rPr>
              <w:t>2026</w:t>
            </w:r>
            <w:r>
              <w:rPr>
                <w:rFonts w:ascii="仿宋_GB2312" w:hAnsi="仿宋_GB2312" w:cs="仿宋_GB2312" w:eastAsia="仿宋_GB2312"/>
                <w:sz w:val="21"/>
              </w:rPr>
              <w:t>年</w:t>
            </w:r>
            <w:r>
              <w:rPr>
                <w:rFonts w:ascii="仿宋_GB2312" w:hAnsi="仿宋_GB2312" w:cs="仿宋_GB2312" w:eastAsia="仿宋_GB2312"/>
                <w:sz w:val="21"/>
              </w:rPr>
              <w:t>5</w:t>
            </w:r>
            <w:r>
              <w:rPr>
                <w:rFonts w:ascii="仿宋_GB2312" w:hAnsi="仿宋_GB2312" w:cs="仿宋_GB2312" w:eastAsia="仿宋_GB2312"/>
                <w:sz w:val="21"/>
              </w:rPr>
              <w:t>月上旬首次演出，演出场次预计为</w:t>
            </w:r>
            <w:r>
              <w:rPr>
                <w:rFonts w:ascii="仿宋_GB2312" w:hAnsi="仿宋_GB2312" w:cs="仿宋_GB2312" w:eastAsia="仿宋_GB2312"/>
                <w:sz w:val="21"/>
              </w:rPr>
              <w:t>80</w:t>
            </w:r>
            <w:r>
              <w:rPr>
                <w:rFonts w:ascii="仿宋_GB2312" w:hAnsi="仿宋_GB2312" w:cs="仿宋_GB2312" w:eastAsia="仿宋_GB2312"/>
                <w:sz w:val="21"/>
              </w:rPr>
              <w:t>场。演出内容融合历史</w:t>
            </w:r>
            <w:r>
              <w:rPr>
                <w:rFonts w:ascii="仿宋_GB2312" w:hAnsi="仿宋_GB2312" w:cs="仿宋_GB2312" w:eastAsia="仿宋_GB2312"/>
                <w:sz w:val="21"/>
              </w:rPr>
              <w:t>IP(</w:t>
            </w:r>
            <w:r>
              <w:rPr>
                <w:rFonts w:ascii="仿宋_GB2312" w:hAnsi="仿宋_GB2312" w:cs="仿宋_GB2312" w:eastAsia="仿宋_GB2312"/>
                <w:sz w:val="21"/>
              </w:rPr>
              <w:t>张良</w:t>
            </w:r>
            <w:r>
              <w:rPr>
                <w:rFonts w:ascii="仿宋_GB2312" w:hAnsi="仿宋_GB2312" w:cs="仿宋_GB2312" w:eastAsia="仿宋_GB2312"/>
                <w:sz w:val="21"/>
              </w:rPr>
              <w:t>/</w:t>
            </w:r>
            <w:r>
              <w:rPr>
                <w:rFonts w:ascii="仿宋_GB2312" w:hAnsi="仿宋_GB2312" w:cs="仿宋_GB2312" w:eastAsia="仿宋_GB2312"/>
                <w:sz w:val="21"/>
              </w:rPr>
              <w:t>韩信</w:t>
            </w:r>
            <w:r>
              <w:rPr>
                <w:rFonts w:ascii="仿宋_GB2312" w:hAnsi="仿宋_GB2312" w:cs="仿宋_GB2312" w:eastAsia="仿宋_GB2312"/>
                <w:sz w:val="21"/>
              </w:rPr>
              <w:t>)</w:t>
            </w:r>
            <w:r>
              <w:rPr>
                <w:rFonts w:ascii="仿宋_GB2312" w:hAnsi="仿宋_GB2312" w:cs="仿宋_GB2312" w:eastAsia="仿宋_GB2312"/>
                <w:sz w:val="21"/>
              </w:rPr>
              <w:t>沉浸式夜游留坝厅老街，采用“实景演绎</w:t>
            </w:r>
            <w:r>
              <w:rPr>
                <w:rFonts w:ascii="仿宋_GB2312" w:hAnsi="仿宋_GB2312" w:cs="仿宋_GB2312" w:eastAsia="仿宋_GB2312"/>
                <w:sz w:val="21"/>
              </w:rPr>
              <w:t>+NPC+</w:t>
            </w:r>
            <w:r>
              <w:rPr>
                <w:rFonts w:ascii="仿宋_GB2312" w:hAnsi="仿宋_GB2312" w:cs="仿宋_GB2312" w:eastAsia="仿宋_GB2312"/>
                <w:sz w:val="21"/>
              </w:rPr>
              <w:t>互动”模式，打造沉浸式演出。通过不同形象的历史人物与游客互动，增强游客参与感。在旅游旺季及固定时间演出，形成常态化演出机制。结合夜市美食、民宿体验形成“演艺</w:t>
            </w:r>
            <w:r>
              <w:rPr>
                <w:rFonts w:ascii="仿宋_GB2312" w:hAnsi="仿宋_GB2312" w:cs="仿宋_GB2312" w:eastAsia="仿宋_GB2312"/>
                <w:sz w:val="21"/>
              </w:rPr>
              <w:t>+</w:t>
            </w:r>
            <w:r>
              <w:rPr>
                <w:rFonts w:ascii="仿宋_GB2312" w:hAnsi="仿宋_GB2312" w:cs="仿宋_GB2312" w:eastAsia="仿宋_GB2312"/>
                <w:sz w:val="21"/>
              </w:rPr>
              <w:t>消费”的夜间经济，吸引游客。作为老街的核心文旅项目，演出的常态化可以延长游客停留时间，提升消费频次，带动精品民宿、餐饮和文创店铺的发展形成“文化</w:t>
            </w:r>
            <w:r>
              <w:rPr>
                <w:rFonts w:ascii="仿宋_GB2312" w:hAnsi="仿宋_GB2312" w:cs="仿宋_GB2312" w:eastAsia="仿宋_GB2312"/>
                <w:sz w:val="21"/>
              </w:rPr>
              <w:t>+</w:t>
            </w:r>
            <w:r>
              <w:rPr>
                <w:rFonts w:ascii="仿宋_GB2312" w:hAnsi="仿宋_GB2312" w:cs="仿宋_GB2312" w:eastAsia="仿宋_GB2312"/>
                <w:sz w:val="21"/>
              </w:rPr>
              <w:t>商业</w:t>
            </w:r>
            <w:r>
              <w:rPr>
                <w:rFonts w:ascii="仿宋_GB2312" w:hAnsi="仿宋_GB2312" w:cs="仿宋_GB2312" w:eastAsia="仿宋_GB2312"/>
                <w:sz w:val="21"/>
              </w:rPr>
              <w:t>+</w:t>
            </w:r>
            <w:r>
              <w:rPr>
                <w:rFonts w:ascii="仿宋_GB2312" w:hAnsi="仿宋_GB2312" w:cs="仿宋_GB2312" w:eastAsia="仿宋_GB2312"/>
                <w:sz w:val="21"/>
              </w:rPr>
              <w:t>旅游”的完整生态。通过沉浸式体验和常态化</w:t>
            </w:r>
            <w:r>
              <w:rPr>
                <w:rFonts w:ascii="仿宋_GB2312" w:hAnsi="仿宋_GB2312" w:cs="仿宋_GB2312" w:eastAsia="仿宋_GB2312"/>
                <w:sz w:val="21"/>
              </w:rPr>
              <w:t>运营，不仅提升游客体验，还助力留坝厅老街巩固国家级休闲街区的品牌价值，推动文旅产业高质量发展。</w:t>
            </w:r>
            <w:r>
              <w:br/>
            </w:r>
            <w:r>
              <w:rPr>
                <w:rFonts w:ascii="仿宋_GB2312" w:hAnsi="仿宋_GB2312" w:cs="仿宋_GB2312" w:eastAsia="仿宋_GB2312"/>
                <w:sz w:val="21"/>
                <w:b/>
              </w:rPr>
              <w:t xml:space="preserve">  </w:t>
            </w:r>
            <w:r>
              <w:rPr>
                <w:rFonts w:ascii="仿宋_GB2312" w:hAnsi="仿宋_GB2312" w:cs="仿宋_GB2312" w:eastAsia="仿宋_GB2312"/>
                <w:sz w:val="21"/>
                <w:b/>
              </w:rPr>
              <w:t>二、总体要求</w:t>
            </w:r>
          </w:p>
          <w:p>
            <w:pPr>
              <w:pStyle w:val="null3"/>
              <w:ind w:firstLine="422"/>
              <w:jc w:val="both"/>
            </w:pPr>
            <w:r>
              <w:rPr>
                <w:rFonts w:ascii="仿宋_GB2312" w:hAnsi="仿宋_GB2312" w:cs="仿宋_GB2312" w:eastAsia="仿宋_GB2312"/>
                <w:sz w:val="21"/>
                <w:b/>
              </w:rPr>
              <w:t xml:space="preserve">1. </w:t>
            </w:r>
            <w:r>
              <w:rPr>
                <w:rFonts w:ascii="仿宋_GB2312" w:hAnsi="仿宋_GB2312" w:cs="仿宋_GB2312" w:eastAsia="仿宋_GB2312"/>
                <w:sz w:val="21"/>
                <w:b/>
              </w:rPr>
              <w:t>场景与设备要求</w:t>
            </w:r>
          </w:p>
          <w:p>
            <w:pPr>
              <w:pStyle w:val="null3"/>
              <w:ind w:firstLine="420"/>
              <w:jc w:val="both"/>
            </w:pPr>
            <w:r>
              <w:rPr>
                <w:rFonts w:ascii="仿宋_GB2312" w:hAnsi="仿宋_GB2312" w:cs="仿宋_GB2312" w:eastAsia="仿宋_GB2312"/>
                <w:sz w:val="21"/>
              </w:rPr>
              <w:t>适配留坝厅老街实景场地，合理规划观演动线、互动区域与应急通道，场地容纳规模需满足日均最大演出客流需求，且符合消防安全规范。</w:t>
            </w:r>
          </w:p>
          <w:p>
            <w:pPr>
              <w:pStyle w:val="null3"/>
              <w:ind w:firstLine="420"/>
              <w:jc w:val="both"/>
            </w:pPr>
            <w:r>
              <w:rPr>
                <w:rFonts w:ascii="仿宋_GB2312" w:hAnsi="仿宋_GB2312" w:cs="仿宋_GB2312" w:eastAsia="仿宋_GB2312"/>
                <w:sz w:val="21"/>
                <w:color w:val="000000"/>
              </w:rPr>
              <w:t>根据现有演出音响、灯光设备，配备专业人员负责设备的安装与调试，确保音响系统覆盖全演出区域，声音清晰无杂音，支持多声道调节；灯光设备适配夜间实景场景，可灵活切换氛围、剧情、互动等多种模式，营造沉浸式效果；道具、服装与历史</w:t>
            </w:r>
            <w:r>
              <w:rPr>
                <w:rFonts w:ascii="仿宋_GB2312" w:hAnsi="仿宋_GB2312" w:cs="仿宋_GB2312" w:eastAsia="仿宋_GB2312"/>
                <w:sz w:val="21"/>
                <w:color w:val="000000"/>
              </w:rPr>
              <w:t>IP</w:t>
            </w:r>
            <w:r>
              <w:rPr>
                <w:rFonts w:ascii="仿宋_GB2312" w:hAnsi="仿宋_GB2312" w:cs="仿宋_GB2312" w:eastAsia="仿宋_GB2312"/>
                <w:sz w:val="21"/>
                <w:color w:val="000000"/>
              </w:rPr>
              <w:t>及老街场景高度契合，质感精良、耐用易维护。</w:t>
            </w:r>
          </w:p>
          <w:p>
            <w:pPr>
              <w:pStyle w:val="null3"/>
              <w:ind w:firstLine="420"/>
              <w:jc w:val="both"/>
            </w:pPr>
            <w:r>
              <w:rPr>
                <w:rFonts w:ascii="仿宋_GB2312" w:hAnsi="仿宋_GB2312" w:cs="仿宋_GB2312" w:eastAsia="仿宋_GB2312"/>
                <w:sz w:val="21"/>
                <w:color w:val="000000"/>
              </w:rPr>
              <w:t>可根据需求适度引入</w:t>
            </w:r>
            <w:r>
              <w:rPr>
                <w:rFonts w:ascii="仿宋_GB2312" w:hAnsi="仿宋_GB2312" w:cs="仿宋_GB2312" w:eastAsia="仿宋_GB2312"/>
                <w:sz w:val="21"/>
                <w:color w:val="000000"/>
              </w:rPr>
              <w:t>XR</w:t>
            </w:r>
            <w:r>
              <w:rPr>
                <w:rFonts w:ascii="仿宋_GB2312" w:hAnsi="仿宋_GB2312" w:cs="仿宋_GB2312" w:eastAsia="仿宋_GB2312"/>
                <w:sz w:val="21"/>
                <w:color w:val="000000"/>
              </w:rPr>
              <w:t>、全息投影等数字化技术，提升视听体验，但需以不破坏老街原有文化氛围、适配实景场地为前提，技术应用方案需提前经采购单位审核。</w:t>
            </w:r>
          </w:p>
          <w:p>
            <w:pPr>
              <w:pStyle w:val="null3"/>
              <w:ind w:firstLine="422"/>
              <w:jc w:val="both"/>
            </w:pPr>
            <w:r>
              <w:rPr>
                <w:rFonts w:ascii="仿宋_GB2312" w:hAnsi="仿宋_GB2312" w:cs="仿宋_GB2312" w:eastAsia="仿宋_GB2312"/>
                <w:sz w:val="21"/>
                <w:b/>
                <w:color w:val="000000"/>
              </w:rPr>
              <w:t xml:space="preserve">2. </w:t>
            </w:r>
            <w:r>
              <w:rPr>
                <w:rFonts w:ascii="仿宋_GB2312" w:hAnsi="仿宋_GB2312" w:cs="仿宋_GB2312" w:eastAsia="仿宋_GB2312"/>
                <w:sz w:val="21"/>
                <w:b/>
                <w:color w:val="000000"/>
              </w:rPr>
              <w:t>内容合规要求</w:t>
            </w:r>
          </w:p>
          <w:p>
            <w:pPr>
              <w:pStyle w:val="null3"/>
              <w:ind w:firstLine="420"/>
              <w:jc w:val="both"/>
            </w:pPr>
            <w:r>
              <w:rPr>
                <w:rFonts w:ascii="仿宋_GB2312" w:hAnsi="仿宋_GB2312" w:cs="仿宋_GB2312" w:eastAsia="仿宋_GB2312"/>
                <w:sz w:val="21"/>
                <w:color w:val="000000"/>
              </w:rPr>
              <w:t>演出内容需弘扬中华优秀传统文化，贴合留坝历史文脉，传递正向价值观，不得包含违反宪法、法律法规、公序良俗的内容，不得损害国家荣誉、民族利益与风俗习惯。</w:t>
            </w:r>
          </w:p>
          <w:p>
            <w:pPr>
              <w:pStyle w:val="null3"/>
              <w:ind w:firstLine="420"/>
              <w:jc w:val="both"/>
            </w:pPr>
            <w:r>
              <w:rPr>
                <w:rFonts w:ascii="仿宋_GB2312" w:hAnsi="仿宋_GB2312" w:cs="仿宋_GB2312" w:eastAsia="仿宋_GB2312"/>
                <w:sz w:val="21"/>
                <w:color w:val="000000"/>
              </w:rPr>
              <w:t>互动环节需遵循</w:t>
            </w:r>
            <w:r>
              <w:rPr>
                <w:rFonts w:ascii="仿宋_GB2312" w:hAnsi="仿宋_GB2312" w:cs="仿宋_GB2312" w:eastAsia="仿宋_GB2312"/>
                <w:sz w:val="21"/>
                <w:color w:val="000000"/>
              </w:rPr>
              <w:t>“非必要不肢体接触”原则，若涉及肢体接触需提前明确告知观众，保障游客体验与安全。</w:t>
            </w:r>
          </w:p>
          <w:p>
            <w:pPr>
              <w:pStyle w:val="null3"/>
              <w:ind w:firstLine="422"/>
              <w:jc w:val="both"/>
            </w:pPr>
            <w:r>
              <w:rPr>
                <w:rFonts w:ascii="仿宋_GB2312" w:hAnsi="仿宋_GB2312" w:cs="仿宋_GB2312" w:eastAsia="仿宋_GB2312"/>
                <w:sz w:val="21"/>
                <w:b/>
                <w:color w:val="000000"/>
              </w:rPr>
              <w:t>三、人员与运营要求</w:t>
            </w:r>
          </w:p>
          <w:p>
            <w:pPr>
              <w:pStyle w:val="null3"/>
              <w:ind w:firstLine="422"/>
              <w:jc w:val="both"/>
            </w:pPr>
            <w:r>
              <w:rPr>
                <w:rFonts w:ascii="仿宋_GB2312" w:hAnsi="仿宋_GB2312" w:cs="仿宋_GB2312" w:eastAsia="仿宋_GB2312"/>
                <w:sz w:val="21"/>
                <w:b/>
                <w:color w:val="000000"/>
              </w:rPr>
              <w:t xml:space="preserve">1. </w:t>
            </w:r>
            <w:r>
              <w:rPr>
                <w:rFonts w:ascii="仿宋_GB2312" w:hAnsi="仿宋_GB2312" w:cs="仿宋_GB2312" w:eastAsia="仿宋_GB2312"/>
                <w:sz w:val="21"/>
                <w:b/>
                <w:color w:val="000000"/>
              </w:rPr>
              <w:t>人员配置标准</w:t>
            </w:r>
          </w:p>
          <w:p>
            <w:pPr>
              <w:pStyle w:val="null3"/>
              <w:ind w:firstLine="420"/>
              <w:jc w:val="both"/>
            </w:pPr>
            <w:r>
              <w:rPr>
                <w:rFonts w:ascii="仿宋_GB2312" w:hAnsi="仿宋_GB2312" w:cs="仿宋_GB2312" w:eastAsia="仿宋_GB2312"/>
                <w:sz w:val="21"/>
                <w:color w:val="000000"/>
              </w:rPr>
              <w:t>组建专业创作与执行团队：包含导演、编剧、舞美设计、灯光音响师、道具师、服装师等核心岗位。</w:t>
            </w:r>
          </w:p>
          <w:p>
            <w:pPr>
              <w:pStyle w:val="null3"/>
              <w:ind w:firstLine="420"/>
              <w:jc w:val="both"/>
            </w:pPr>
            <w:r>
              <w:rPr>
                <w:rFonts w:ascii="仿宋_GB2312" w:hAnsi="仿宋_GB2312" w:cs="仿宋_GB2312" w:eastAsia="仿宋_GB2312"/>
                <w:sz w:val="21"/>
                <w:color w:val="000000"/>
              </w:rPr>
              <w:t>演员（</w:t>
            </w:r>
            <w:r>
              <w:rPr>
                <w:rFonts w:ascii="仿宋_GB2312" w:hAnsi="仿宋_GB2312" w:cs="仿宋_GB2312" w:eastAsia="仿宋_GB2312"/>
                <w:sz w:val="21"/>
                <w:color w:val="000000"/>
              </w:rPr>
              <w:t>NPC</w:t>
            </w:r>
            <w:r>
              <w:rPr>
                <w:rFonts w:ascii="仿宋_GB2312" w:hAnsi="仿宋_GB2312" w:cs="仿宋_GB2312" w:eastAsia="仿宋_GB2312"/>
                <w:sz w:val="21"/>
                <w:color w:val="000000"/>
              </w:rPr>
              <w:t>）配置：数量需满足</w:t>
            </w:r>
            <w:r>
              <w:rPr>
                <w:rFonts w:ascii="仿宋_GB2312" w:hAnsi="仿宋_GB2312" w:cs="仿宋_GB2312" w:eastAsia="仿宋_GB2312"/>
                <w:sz w:val="21"/>
                <w:color w:val="000000"/>
              </w:rPr>
              <w:t>80</w:t>
            </w:r>
            <w:r>
              <w:rPr>
                <w:rFonts w:ascii="仿宋_GB2312" w:hAnsi="仿宋_GB2312" w:cs="仿宋_GB2312" w:eastAsia="仿宋_GB2312"/>
                <w:sz w:val="21"/>
                <w:color w:val="000000"/>
              </w:rPr>
              <w:t>场演出排班需求，人均每日演出时长不超过</w:t>
            </w:r>
            <w:r>
              <w:rPr>
                <w:rFonts w:ascii="仿宋_GB2312" w:hAnsi="仿宋_GB2312" w:cs="仿宋_GB2312" w:eastAsia="仿宋_GB2312"/>
                <w:sz w:val="21"/>
                <w:color w:val="000000"/>
              </w:rPr>
              <w:t>[</w:t>
            </w:r>
            <w:r>
              <w:rPr>
                <w:rFonts w:ascii="仿宋_GB2312" w:hAnsi="仿宋_GB2312" w:cs="仿宋_GB2312" w:eastAsia="仿宋_GB2312"/>
                <w:sz w:val="21"/>
                <w:color w:val="000000"/>
              </w:rPr>
              <w:t>建议</w:t>
            </w:r>
            <w:r>
              <w:rPr>
                <w:rFonts w:ascii="仿宋_GB2312" w:hAnsi="仿宋_GB2312" w:cs="仿宋_GB2312" w:eastAsia="仿宋_GB2312"/>
                <w:sz w:val="21"/>
                <w:color w:val="000000"/>
              </w:rPr>
              <w:t>4</w:t>
            </w:r>
            <w:r>
              <w:rPr>
                <w:rFonts w:ascii="仿宋_GB2312" w:hAnsi="仿宋_GB2312" w:cs="仿宋_GB2312" w:eastAsia="仿宋_GB2312"/>
                <w:sz w:val="21"/>
                <w:color w:val="000000"/>
              </w:rPr>
              <w:t>小时</w:t>
            </w:r>
            <w:r>
              <w:rPr>
                <w:rFonts w:ascii="仿宋_GB2312" w:hAnsi="仿宋_GB2312" w:cs="仿宋_GB2312" w:eastAsia="仿宋_GB2312"/>
                <w:sz w:val="21"/>
                <w:color w:val="000000"/>
              </w:rPr>
              <w:t>]</w:t>
            </w:r>
            <w:r>
              <w:rPr>
                <w:rFonts w:ascii="仿宋_GB2312" w:hAnsi="仿宋_GB2312" w:cs="仿宋_GB2312" w:eastAsia="仿宋_GB2312"/>
                <w:sz w:val="21"/>
                <w:color w:val="000000"/>
              </w:rPr>
              <w:t>，且需接受专业培训，熟悉历史背景、互动规则与应急处置流程，具备良好的沟通能力与即兴表演能力。</w:t>
            </w:r>
          </w:p>
          <w:p>
            <w:pPr>
              <w:pStyle w:val="null3"/>
              <w:ind w:firstLine="420"/>
              <w:jc w:val="both"/>
            </w:pPr>
            <w:r>
              <w:rPr>
                <w:rFonts w:ascii="仿宋_GB2312" w:hAnsi="仿宋_GB2312" w:cs="仿宋_GB2312" w:eastAsia="仿宋_GB2312"/>
                <w:sz w:val="21"/>
                <w:color w:val="000000"/>
              </w:rPr>
              <w:t>运营服务人员：配备现场引导、安全保障、咨询投诉处理等人员，确保游客入场、观演、互动全流程顺畅，提供贴心服务。</w:t>
            </w:r>
          </w:p>
          <w:p>
            <w:pPr>
              <w:pStyle w:val="null3"/>
              <w:ind w:firstLine="422"/>
              <w:jc w:val="both"/>
            </w:pPr>
            <w:r>
              <w:rPr>
                <w:rFonts w:ascii="仿宋_GB2312" w:hAnsi="仿宋_GB2312" w:cs="仿宋_GB2312" w:eastAsia="仿宋_GB2312"/>
                <w:sz w:val="21"/>
                <w:b/>
                <w:color w:val="000000"/>
              </w:rPr>
              <w:t xml:space="preserve">2. </w:t>
            </w:r>
            <w:r>
              <w:rPr>
                <w:rFonts w:ascii="仿宋_GB2312" w:hAnsi="仿宋_GB2312" w:cs="仿宋_GB2312" w:eastAsia="仿宋_GB2312"/>
                <w:sz w:val="21"/>
                <w:b/>
                <w:color w:val="000000"/>
              </w:rPr>
              <w:t>运营管理要求</w:t>
            </w:r>
          </w:p>
          <w:p>
            <w:pPr>
              <w:pStyle w:val="null3"/>
              <w:ind w:firstLine="420"/>
              <w:jc w:val="both"/>
            </w:pPr>
            <w:r>
              <w:rPr>
                <w:rFonts w:ascii="仿宋_GB2312" w:hAnsi="仿宋_GB2312" w:cs="仿宋_GB2312" w:eastAsia="仿宋_GB2312"/>
                <w:sz w:val="21"/>
                <w:color w:val="000000"/>
              </w:rPr>
              <w:t>建立完善的管理制度，涵盖人员管理、培训管理、设备管理、安全管理、应急处置、观众服务等全流程。</w:t>
            </w:r>
          </w:p>
          <w:p>
            <w:pPr>
              <w:pStyle w:val="null3"/>
              <w:ind w:firstLine="420"/>
              <w:jc w:val="both"/>
            </w:pPr>
            <w:r>
              <w:rPr>
                <w:rFonts w:ascii="仿宋_GB2312" w:hAnsi="仿宋_GB2312" w:cs="仿宋_GB2312" w:eastAsia="仿宋_GB2312"/>
                <w:sz w:val="21"/>
                <w:color w:val="000000"/>
              </w:rPr>
              <w:t>制定详细的演出排期表、排练计划、应急预案（含极端天气、设备故障、游客突发状况等），并严格执行，每月向采购单位提交运营进度报告。</w:t>
            </w:r>
          </w:p>
          <w:p>
            <w:pPr>
              <w:pStyle w:val="null3"/>
              <w:ind w:firstLine="420"/>
              <w:jc w:val="both"/>
            </w:pPr>
            <w:r>
              <w:rPr>
                <w:rFonts w:ascii="仿宋_GB2312" w:hAnsi="仿宋_GB2312" w:cs="仿宋_GB2312" w:eastAsia="仿宋_GB2312"/>
                <w:sz w:val="21"/>
                <w:color w:val="000000"/>
              </w:rPr>
              <w:t>建立游客反馈机制，通过现场问卷、线上评价等方式收集游客意见，及时优化演出内容、互动环节与服务细节，提升游客满意度。</w:t>
            </w:r>
          </w:p>
          <w:p>
            <w:pPr>
              <w:pStyle w:val="null3"/>
              <w:ind w:firstLine="422"/>
              <w:jc w:val="both"/>
            </w:pPr>
            <w:r>
              <w:rPr>
                <w:rFonts w:ascii="仿宋_GB2312" w:hAnsi="仿宋_GB2312" w:cs="仿宋_GB2312" w:eastAsia="仿宋_GB2312"/>
                <w:sz w:val="21"/>
                <w:b/>
                <w:color w:val="000000"/>
              </w:rPr>
              <w:t>四、交付与验收要求</w:t>
            </w:r>
          </w:p>
          <w:p>
            <w:pPr>
              <w:pStyle w:val="null3"/>
              <w:ind w:firstLine="422"/>
              <w:jc w:val="both"/>
            </w:pPr>
            <w:r>
              <w:rPr>
                <w:rFonts w:ascii="仿宋_GB2312" w:hAnsi="仿宋_GB2312" w:cs="仿宋_GB2312" w:eastAsia="仿宋_GB2312"/>
                <w:sz w:val="21"/>
                <w:b/>
                <w:color w:val="000000"/>
              </w:rPr>
              <w:t xml:space="preserve">1. </w:t>
            </w:r>
            <w:r>
              <w:rPr>
                <w:rFonts w:ascii="仿宋_GB2312" w:hAnsi="仿宋_GB2312" w:cs="仿宋_GB2312" w:eastAsia="仿宋_GB2312"/>
                <w:sz w:val="21"/>
                <w:b/>
                <w:color w:val="000000"/>
              </w:rPr>
              <w:t>交付节点</w:t>
            </w:r>
          </w:p>
          <w:p>
            <w:pPr>
              <w:pStyle w:val="null3"/>
              <w:ind w:firstLine="420"/>
              <w:jc w:val="both"/>
            </w:pP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4</w:t>
            </w:r>
            <w:r>
              <w:rPr>
                <w:rFonts w:ascii="仿宋_GB2312" w:hAnsi="仿宋_GB2312" w:cs="仿宋_GB2312" w:eastAsia="仿宋_GB2312"/>
                <w:sz w:val="21"/>
                <w:color w:val="000000"/>
              </w:rPr>
              <w:t>月中旬前：整台节目的设计方案、舞美设计方案、人员配置方案、排期表、应急预案等全套资料，通过采购单位审核。</w:t>
            </w:r>
          </w:p>
          <w:p>
            <w:pPr>
              <w:pStyle w:val="null3"/>
              <w:ind w:firstLine="420"/>
              <w:jc w:val="both"/>
            </w:pP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4</w:t>
            </w:r>
            <w:r>
              <w:rPr>
                <w:rFonts w:ascii="仿宋_GB2312" w:hAnsi="仿宋_GB2312" w:cs="仿宋_GB2312" w:eastAsia="仿宋_GB2312"/>
                <w:sz w:val="21"/>
                <w:color w:val="000000"/>
              </w:rPr>
              <w:t>月下旬：完成场地布置、设备调试、演员排练与全流程联排，组织采购单位进行预演验收，整改优化至符合要求。</w:t>
            </w:r>
          </w:p>
          <w:p>
            <w:pPr>
              <w:pStyle w:val="null3"/>
              <w:ind w:firstLine="420"/>
              <w:jc w:val="both"/>
            </w:pP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5</w:t>
            </w:r>
            <w:r>
              <w:rPr>
                <w:rFonts w:ascii="仿宋_GB2312" w:hAnsi="仿宋_GB2312" w:cs="仿宋_GB2312" w:eastAsia="仿宋_GB2312"/>
                <w:sz w:val="21"/>
                <w:color w:val="000000"/>
              </w:rPr>
              <w:t>月上旬：完成首次演出，确保达到预期效果；</w:t>
            </w:r>
            <w:r>
              <w:rPr>
                <w:rFonts w:ascii="仿宋_GB2312" w:hAnsi="仿宋_GB2312" w:cs="仿宋_GB2312" w:eastAsia="仿宋_GB2312"/>
                <w:sz w:val="21"/>
                <w:color w:val="000000"/>
              </w:rPr>
              <w:t>2026</w:t>
            </w:r>
            <w:r>
              <w:rPr>
                <w:rFonts w:ascii="仿宋_GB2312" w:hAnsi="仿宋_GB2312" w:cs="仿宋_GB2312" w:eastAsia="仿宋_GB2312"/>
                <w:sz w:val="21"/>
                <w:color w:val="000000"/>
              </w:rPr>
              <w:t>年</w:t>
            </w:r>
            <w:r>
              <w:rPr>
                <w:rFonts w:ascii="仿宋_GB2312" w:hAnsi="仿宋_GB2312" w:cs="仿宋_GB2312" w:eastAsia="仿宋_GB2312"/>
                <w:sz w:val="21"/>
                <w:color w:val="000000"/>
              </w:rPr>
              <w:t>10</w:t>
            </w:r>
            <w:r>
              <w:rPr>
                <w:rFonts w:ascii="仿宋_GB2312" w:hAnsi="仿宋_GB2312" w:cs="仿宋_GB2312" w:eastAsia="仿宋_GB2312"/>
                <w:sz w:val="21"/>
                <w:color w:val="000000"/>
              </w:rPr>
              <w:t>月中旬前完成全部</w:t>
            </w:r>
            <w:r>
              <w:rPr>
                <w:rFonts w:ascii="仿宋_GB2312" w:hAnsi="仿宋_GB2312" w:cs="仿宋_GB2312" w:eastAsia="仿宋_GB2312"/>
                <w:sz w:val="21"/>
                <w:color w:val="000000"/>
              </w:rPr>
              <w:t>80</w:t>
            </w:r>
            <w:r>
              <w:rPr>
                <w:rFonts w:ascii="仿宋_GB2312" w:hAnsi="仿宋_GB2312" w:cs="仿宋_GB2312" w:eastAsia="仿宋_GB2312"/>
                <w:sz w:val="21"/>
                <w:color w:val="000000"/>
              </w:rPr>
              <w:t>场演出，并提交演出总结报告、运营数据报告、游客满意度报告等全套成果。</w:t>
            </w:r>
          </w:p>
          <w:p>
            <w:pPr>
              <w:pStyle w:val="null3"/>
              <w:ind w:firstLine="420"/>
              <w:jc w:val="both"/>
            </w:pPr>
            <w:r>
              <w:rPr>
                <w:rFonts w:ascii="仿宋_GB2312" w:hAnsi="仿宋_GB2312" w:cs="仿宋_GB2312" w:eastAsia="仿宋_GB2312"/>
                <w:sz w:val="21"/>
                <w:color w:val="000000"/>
              </w:rPr>
              <w:t xml:space="preserve">2. </w:t>
            </w:r>
            <w:r>
              <w:rPr>
                <w:rFonts w:ascii="仿宋_GB2312" w:hAnsi="仿宋_GB2312" w:cs="仿宋_GB2312" w:eastAsia="仿宋_GB2312"/>
                <w:sz w:val="21"/>
                <w:color w:val="000000"/>
              </w:rPr>
              <w:t>验收标准</w:t>
            </w:r>
          </w:p>
          <w:p>
            <w:pPr>
              <w:pStyle w:val="null3"/>
              <w:ind w:firstLine="420"/>
              <w:jc w:val="both"/>
            </w:pPr>
            <w:r>
              <w:rPr>
                <w:rFonts w:ascii="仿宋_GB2312" w:hAnsi="仿宋_GB2312" w:cs="仿宋_GB2312" w:eastAsia="仿宋_GB2312"/>
                <w:sz w:val="21"/>
                <w:color w:val="000000"/>
              </w:rPr>
              <w:t>演出场次达标：全周期完成</w:t>
            </w:r>
            <w:r>
              <w:rPr>
                <w:rFonts w:ascii="仿宋_GB2312" w:hAnsi="仿宋_GB2312" w:cs="仿宋_GB2312" w:eastAsia="仿宋_GB2312"/>
                <w:sz w:val="21"/>
                <w:color w:val="000000"/>
              </w:rPr>
              <w:t>80</w:t>
            </w:r>
            <w:r>
              <w:rPr>
                <w:rFonts w:ascii="仿宋_GB2312" w:hAnsi="仿宋_GB2312" w:cs="仿宋_GB2312" w:eastAsia="仿宋_GB2312"/>
                <w:sz w:val="21"/>
                <w:color w:val="000000"/>
              </w:rPr>
              <w:t>场演出，无无故停演、减演情况，每场演出时长不低于</w:t>
            </w:r>
            <w:r>
              <w:rPr>
                <w:rFonts w:ascii="仿宋_GB2312" w:hAnsi="仿宋_GB2312" w:cs="仿宋_GB2312" w:eastAsia="仿宋_GB2312"/>
                <w:sz w:val="21"/>
                <w:color w:val="000000"/>
              </w:rPr>
              <w:t>60</w:t>
            </w:r>
            <w:r>
              <w:rPr>
                <w:rFonts w:ascii="仿宋_GB2312" w:hAnsi="仿宋_GB2312" w:cs="仿宋_GB2312" w:eastAsia="仿宋_GB2312"/>
                <w:sz w:val="21"/>
                <w:color w:val="000000"/>
              </w:rPr>
              <w:t>分钟，互动环节有效落地。</w:t>
            </w:r>
          </w:p>
          <w:p>
            <w:pPr>
              <w:pStyle w:val="null3"/>
              <w:ind w:firstLine="420"/>
              <w:jc w:val="both"/>
            </w:pPr>
            <w:r>
              <w:rPr>
                <w:rFonts w:ascii="仿宋_GB2312" w:hAnsi="仿宋_GB2312" w:cs="仿宋_GB2312" w:eastAsia="仿宋_GB2312"/>
                <w:sz w:val="21"/>
                <w:color w:val="000000"/>
              </w:rPr>
              <w:t>内容与体验达标：演出效果贴合预期，游客满意度不低于</w:t>
            </w:r>
            <w:r>
              <w:rPr>
                <w:rFonts w:ascii="仿宋_GB2312" w:hAnsi="仿宋_GB2312" w:cs="仿宋_GB2312" w:eastAsia="仿宋_GB2312"/>
                <w:sz w:val="21"/>
                <w:color w:val="000000"/>
              </w:rPr>
              <w:t>85%</w:t>
            </w:r>
            <w:r>
              <w:rPr>
                <w:rFonts w:ascii="仿宋_GB2312" w:hAnsi="仿宋_GB2312" w:cs="仿宋_GB2312" w:eastAsia="仿宋_GB2312"/>
                <w:sz w:val="21"/>
                <w:color w:val="000000"/>
              </w:rPr>
              <w:t>。</w:t>
            </w:r>
          </w:p>
          <w:p>
            <w:pPr>
              <w:pStyle w:val="null3"/>
              <w:ind w:firstLine="420"/>
              <w:jc w:val="both"/>
            </w:pPr>
            <w:r>
              <w:rPr>
                <w:rFonts w:ascii="仿宋_GB2312" w:hAnsi="仿宋_GB2312" w:cs="仿宋_GB2312" w:eastAsia="仿宋_GB2312"/>
                <w:sz w:val="21"/>
                <w:color w:val="000000"/>
              </w:rPr>
              <w:t>合规与安全达标：无内容违规、消防安全事故、重大安全责任事故，运营管理规范，资料归档完整。</w:t>
            </w:r>
          </w:p>
          <w:p>
            <w:pPr>
              <w:pStyle w:val="null3"/>
              <w:ind w:firstLine="420"/>
              <w:jc w:val="both"/>
            </w:pPr>
            <w:r>
              <w:rPr>
                <w:rFonts w:ascii="仿宋_GB2312" w:hAnsi="仿宋_GB2312" w:cs="仿宋_GB2312" w:eastAsia="仿宋_GB2312"/>
                <w:sz w:val="21"/>
                <w:color w:val="000000"/>
              </w:rPr>
              <w:t>生态联动达标：有效带动老街民宿、餐饮、文创消费，助力巩固国家级休闲街区品牌价值。</w:t>
            </w:r>
          </w:p>
          <w:p>
            <w:pPr>
              <w:pStyle w:val="null3"/>
              <w:ind w:firstLine="422"/>
              <w:jc w:val="both"/>
            </w:pPr>
            <w:r>
              <w:rPr>
                <w:rFonts w:ascii="仿宋_GB2312" w:hAnsi="仿宋_GB2312" w:cs="仿宋_GB2312" w:eastAsia="仿宋_GB2312"/>
                <w:sz w:val="21"/>
                <w:b/>
              </w:rPr>
              <w:t>五、商务要求</w:t>
            </w:r>
          </w:p>
          <w:p>
            <w:pPr>
              <w:pStyle w:val="null3"/>
              <w:ind w:firstLine="420"/>
              <w:jc w:val="both"/>
            </w:pPr>
            <w:r>
              <w:rPr>
                <w:rFonts w:ascii="仿宋_GB2312" w:hAnsi="仿宋_GB2312" w:cs="仿宋_GB2312" w:eastAsia="仿宋_GB2312"/>
                <w:sz w:val="21"/>
              </w:rPr>
              <w:t>1.</w:t>
            </w:r>
            <w:r>
              <w:rPr>
                <w:rFonts w:ascii="仿宋_GB2312" w:hAnsi="仿宋_GB2312" w:cs="仿宋_GB2312" w:eastAsia="仿宋_GB2312"/>
                <w:sz w:val="21"/>
              </w:rPr>
              <w:t>保密要求：供应商需对采购项目相关的剧本、方案、运营数据、游客信息等保密，未经采购单位允许不得泄露，保密期限至项目最终验收后</w:t>
            </w:r>
            <w:r>
              <w:rPr>
                <w:rFonts w:ascii="仿宋_GB2312" w:hAnsi="仿宋_GB2312" w:cs="仿宋_GB2312" w:eastAsia="仿宋_GB2312"/>
                <w:sz w:val="21"/>
              </w:rPr>
              <w:t>1</w:t>
            </w:r>
            <w:r>
              <w:rPr>
                <w:rFonts w:ascii="仿宋_GB2312" w:hAnsi="仿宋_GB2312" w:cs="仿宋_GB2312" w:eastAsia="仿宋_GB2312"/>
                <w:sz w:val="21"/>
              </w:rPr>
              <w:t>年。</w:t>
            </w:r>
          </w:p>
          <w:p>
            <w:pPr>
              <w:pStyle w:val="null3"/>
              <w:ind w:firstLine="420"/>
              <w:jc w:val="both"/>
            </w:pPr>
            <w:r>
              <w:rPr>
                <w:rFonts w:ascii="仿宋_GB2312" w:hAnsi="仿宋_GB2312" w:cs="仿宋_GB2312" w:eastAsia="仿宋_GB2312"/>
                <w:sz w:val="21"/>
              </w:rPr>
              <w:t>2.</w:t>
            </w:r>
            <w:r>
              <w:rPr>
                <w:rFonts w:ascii="仿宋_GB2312" w:hAnsi="仿宋_GB2312" w:cs="仿宋_GB2312" w:eastAsia="仿宋_GB2312"/>
                <w:sz w:val="21"/>
              </w:rPr>
              <w:t>违约责任：中标供应商未按约定完成演出场次、内容不达标、出现安全事故或违规行为的，采购单位有权扣除部分或全部履约保证金，情节严重的终止合同并追究相关责任；采购单位未按约定付款的，需按同期银行贷款利率支付违约金。</w:t>
            </w:r>
          </w:p>
          <w:p>
            <w:pPr>
              <w:pStyle w:val="null3"/>
              <w:ind w:firstLine="420"/>
              <w:jc w:val="both"/>
            </w:pPr>
            <w:r>
              <w:rPr>
                <w:rFonts w:ascii="仿宋_GB2312" w:hAnsi="仿宋_GB2312" w:cs="仿宋_GB2312" w:eastAsia="仿宋_GB2312"/>
                <w:sz w:val="21"/>
              </w:rPr>
              <w:t>3.</w:t>
            </w:r>
            <w:r>
              <w:rPr>
                <w:rFonts w:ascii="仿宋_GB2312" w:hAnsi="仿宋_GB2312" w:cs="仿宋_GB2312" w:eastAsia="仿宋_GB2312"/>
                <w:sz w:val="21"/>
              </w:rPr>
              <w:t>其他：供应商需配合采购单位完成项目相关的宣传推广、资料报送、验收评审等工作，遵守招标采购相关法律法规及流程规范。</w:t>
            </w:r>
          </w:p>
          <w:p>
            <w:pPr>
              <w:pStyle w:val="null3"/>
              <w:ind w:firstLine="422"/>
              <w:jc w:val="both"/>
            </w:pP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服务期限：至2026年10月中旬前完成</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留坝县</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质量达到国家行业合格标准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分期付款</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中标签订合同后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60.00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项目进度达到50%</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30.00</w:t>
      </w:r>
      <w:r>
        <w:rPr>
          <w:rFonts w:ascii="仿宋_GB2312" w:hAnsi="仿宋_GB2312" w:cs="仿宋_GB2312" w:eastAsia="仿宋_GB2312"/>
        </w:rPr>
        <w:t>%。</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成果验收合格后</w:t>
      </w:r>
      <w:r>
        <w:rPr>
          <w:rFonts w:ascii="仿宋_GB2312" w:hAnsi="仿宋_GB2312" w:cs="仿宋_GB2312" w:eastAsia="仿宋_GB2312"/>
        </w:rPr>
        <w:t xml:space="preserve"> ，达到付款条件起 </w:t>
      </w:r>
      <w:r>
        <w:rPr>
          <w:rFonts w:ascii="仿宋_GB2312" w:hAnsi="仿宋_GB2312" w:cs="仿宋_GB2312" w:eastAsia="仿宋_GB2312"/>
        </w:rPr>
        <w:t>7</w:t>
      </w:r>
      <w:r>
        <w:rPr>
          <w:rFonts w:ascii="仿宋_GB2312" w:hAnsi="仿宋_GB2312" w:cs="仿宋_GB2312" w:eastAsia="仿宋_GB2312"/>
        </w:rPr>
        <w:t xml:space="preserve"> 日内，支付合同总金额的 </w:t>
      </w:r>
      <w:r>
        <w:rPr>
          <w:rFonts w:ascii="仿宋_GB2312" w:hAnsi="仿宋_GB2312" w:cs="仿宋_GB2312" w:eastAsia="仿宋_GB2312"/>
        </w:rPr>
        <w:t>10.00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合同中约定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1、采用转账支票或银行电汇形式提交的投标保证金必须从其基本账户转出，投标供应商在缴纳保证金时应注明项目名称。2、采用银行保函形式提交投标保证金的，应用基本账户保函的银行或市级银行。注：1.须将原件于投标截止时间前一个工作日内交至代理机构财务处换取保证金收据，2.保证金收据换取地址为:汉中市汉台区竹园天玺办公楼11楼。</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响应文件封面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供应商需在项目电子化交易系统中按要求填写《响应函》完成承诺并进行电子签章。</w:t>
            </w:r>
          </w:p>
        </w:tc>
        <w:tc>
          <w:tcPr>
            <w:tcW w:type="dxa" w:w="1661"/>
          </w:tcPr>
          <w:p>
            <w:pPr>
              <w:pStyle w:val="null3"/>
            </w:pPr>
            <w:r>
              <w:rPr>
                <w:rFonts w:ascii="仿宋_GB2312" w:hAnsi="仿宋_GB2312" w:cs="仿宋_GB2312" w:eastAsia="仿宋_GB2312"/>
              </w:rPr>
              <w:t>响应函 控股承诺.docx</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3322"/>
          </w:tcPr>
          <w:p>
            <w:pPr>
              <w:pStyle w:val="null3"/>
            </w:pPr>
            <w:r>
              <w:rPr>
                <w:rFonts w:ascii="仿宋_GB2312" w:hAnsi="仿宋_GB2312" w:cs="仿宋_GB2312" w:eastAsia="仿宋_GB2312"/>
              </w:rPr>
              <w:t>供应商为具有独立承担民事责任能力的法人或其他组织或自然人，并出具营业执照(事业法人证)或证明文件或自然人的身份证明;</w:t>
            </w:r>
          </w:p>
        </w:tc>
        <w:tc>
          <w:tcPr>
            <w:tcW w:type="dxa" w:w="1661"/>
          </w:tcPr>
          <w:p>
            <w:pPr>
              <w:pStyle w:val="null3"/>
            </w:pPr>
            <w:r>
              <w:rPr>
                <w:rFonts w:ascii="仿宋_GB2312" w:hAnsi="仿宋_GB2312" w:cs="仿宋_GB2312" w:eastAsia="仿宋_GB2312"/>
              </w:rPr>
              <w:t>供应商应提交的相关资格证明材料.docx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3322"/>
          </w:tcPr>
          <w:p>
            <w:pPr>
              <w:pStyle w:val="null3"/>
            </w:pPr>
            <w:r>
              <w:rPr>
                <w:rFonts w:ascii="仿宋_GB2312" w:hAnsi="仿宋_GB2312" w:cs="仿宋_GB2312" w:eastAsia="仿宋_GB2312"/>
              </w:rPr>
              <w:t>法定代表人或单位负责人授权书及被授权人身份证(法定代表人或单位负责人直接参加投标除外，但须出示法定代表人或单位负责人身份证及营业执照复印件)</w:t>
            </w:r>
          </w:p>
        </w:tc>
        <w:tc>
          <w:tcPr>
            <w:tcW w:type="dxa" w:w="1661"/>
          </w:tcPr>
          <w:p>
            <w:pPr>
              <w:pStyle w:val="null3"/>
            </w:pPr>
            <w:r>
              <w:rPr>
                <w:rFonts w:ascii="仿宋_GB2312" w:hAnsi="仿宋_GB2312" w:cs="仿宋_GB2312" w:eastAsia="仿宋_GB2312"/>
              </w:rPr>
              <w:t>法定代表人证明书或授权委托书.docx 供应商应提交的相关资格证明材料.docx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供应商须具有健全的财务会计制度、具有履行合同所必需的设备和专业技术能力、具有依法缴纳税收和社会保障资金的良好记录，以及参加本项目采购活动前三年内在经营活动中无重大违法活动记录，供应商提供《汉中市政府采购供应商资格承诺函》</w:t>
            </w:r>
          </w:p>
        </w:tc>
        <w:tc>
          <w:tcPr>
            <w:tcW w:type="dxa" w:w="3322"/>
          </w:tcPr>
          <w:p>
            <w:pPr>
              <w:pStyle w:val="null3"/>
            </w:pPr>
            <w:r>
              <w:rPr>
                <w:rFonts w:ascii="仿宋_GB2312" w:hAnsi="仿宋_GB2312" w:cs="仿宋_GB2312" w:eastAsia="仿宋_GB2312"/>
              </w:rPr>
              <w:t>提供《汉中市政府采购供应商资格承诺函》;</w:t>
            </w:r>
          </w:p>
        </w:tc>
        <w:tc>
          <w:tcPr>
            <w:tcW w:type="dxa" w:w="1661"/>
          </w:tcPr>
          <w:p>
            <w:pPr>
              <w:pStyle w:val="null3"/>
            </w:pPr>
            <w:r>
              <w:rPr>
                <w:rFonts w:ascii="仿宋_GB2312" w:hAnsi="仿宋_GB2312" w:cs="仿宋_GB2312" w:eastAsia="仿宋_GB2312"/>
              </w:rPr>
              <w:t>汉中市政府采购供应商资格承诺函.pdf</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服务内容及服务邀请应答表 供应商应提交的相关资格证明材料.docx 商务应答表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保证金交纳</w:t>
            </w:r>
          </w:p>
        </w:tc>
        <w:tc>
          <w:tcPr>
            <w:tcW w:type="dxa" w:w="3322"/>
          </w:tcPr>
          <w:p>
            <w:pPr>
              <w:pStyle w:val="null3"/>
            </w:pPr>
            <w:r>
              <w:rPr>
                <w:rFonts w:ascii="仿宋_GB2312" w:hAnsi="仿宋_GB2312" w:cs="仿宋_GB2312" w:eastAsia="仿宋_GB2312"/>
              </w:rPr>
              <w:t>应按要求提供保证金交纳凭证复印件</w:t>
            </w:r>
          </w:p>
        </w:tc>
        <w:tc>
          <w:tcPr>
            <w:tcW w:type="dxa" w:w="1661"/>
          </w:tcPr>
          <w:p>
            <w:pPr>
              <w:pStyle w:val="null3"/>
            </w:pPr>
            <w:r>
              <w:rPr>
                <w:rFonts w:ascii="仿宋_GB2312" w:hAnsi="仿宋_GB2312" w:cs="仿宋_GB2312" w:eastAsia="仿宋_GB2312"/>
              </w:rPr>
              <w:t>保证金.pdf</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投标文件是否按招标文件要求签署、盖章</w:t>
            </w:r>
          </w:p>
        </w:tc>
        <w:tc>
          <w:tcPr>
            <w:tcW w:type="dxa" w:w="3322"/>
          </w:tcPr>
          <w:p>
            <w:pPr>
              <w:pStyle w:val="null3"/>
            </w:pPr>
            <w:r>
              <w:rPr>
                <w:rFonts w:ascii="仿宋_GB2312" w:hAnsi="仿宋_GB2312" w:cs="仿宋_GB2312" w:eastAsia="仿宋_GB2312"/>
              </w:rPr>
              <w:t>应按招标文件要求签署、盖章</w:t>
            </w:r>
          </w:p>
        </w:tc>
        <w:tc>
          <w:tcPr>
            <w:tcW w:type="dxa" w:w="1661"/>
          </w:tcPr>
          <w:p>
            <w:pPr>
              <w:pStyle w:val="null3"/>
            </w:pPr>
            <w:r>
              <w:rPr>
                <w:rFonts w:ascii="仿宋_GB2312" w:hAnsi="仿宋_GB2312" w:cs="仿宋_GB2312" w:eastAsia="仿宋_GB2312"/>
              </w:rPr>
              <w:t>响应文件封面 法定代表人证明书或授权委托书.docx 标的清单 报价表 响应函 控股承诺.docx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类似业绩</w:t>
            </w:r>
          </w:p>
        </w:tc>
        <w:tc>
          <w:tcPr>
            <w:tcW w:type="dxa" w:w="2492"/>
          </w:tcPr>
          <w:p>
            <w:pPr>
              <w:pStyle w:val="null3"/>
            </w:pPr>
            <w:r>
              <w:rPr>
                <w:rFonts w:ascii="仿宋_GB2312" w:hAnsi="仿宋_GB2312" w:cs="仿宋_GB2312" w:eastAsia="仿宋_GB2312"/>
              </w:rPr>
              <w:t>供应商提供2023年1月1日至今的类似业绩，每提供一个得3分，资料提供合同复印件并加盖公章。（业绩时间以合同签订时间为准）</w:t>
            </w:r>
          </w:p>
        </w:tc>
        <w:tc>
          <w:tcPr>
            <w:tcW w:type="dxa" w:w="831"/>
          </w:tcPr>
          <w:p>
            <w:pPr>
              <w:pStyle w:val="null3"/>
              <w:jc w:val="right"/>
            </w:pPr>
            <w:r>
              <w:rPr>
                <w:rFonts w:ascii="仿宋_GB2312" w:hAnsi="仿宋_GB2312" w:cs="仿宋_GB2312" w:eastAsia="仿宋_GB2312"/>
              </w:rPr>
              <w:t>6.0000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供应商应提交的相关资格证明材料.docx</w:t>
            </w:r>
          </w:p>
          <w:p>
            <w:pPr>
              <w:pStyle w:val="null3"/>
            </w:pPr>
            <w:r>
              <w:rPr>
                <w:rFonts w:ascii="仿宋_GB2312" w:hAnsi="仿宋_GB2312" w:cs="仿宋_GB2312" w:eastAsia="仿宋_GB2312"/>
              </w:rPr>
              <w:t>业绩一览表.docx</w:t>
            </w:r>
          </w:p>
        </w:tc>
      </w:tr>
      <w:tr>
        <w:tc>
          <w:tcPr>
            <w:tcW w:type="dxa" w:w="831"/>
            <w:vMerge/>
          </w:tcPr>
          <w:p/>
        </w:tc>
        <w:tc>
          <w:tcPr>
            <w:tcW w:type="dxa" w:w="1661"/>
          </w:tcPr>
          <w:p>
            <w:pPr>
              <w:pStyle w:val="null3"/>
            </w:pPr>
            <w:r>
              <w:rPr>
                <w:rFonts w:ascii="仿宋_GB2312" w:hAnsi="仿宋_GB2312" w:cs="仿宋_GB2312" w:eastAsia="仿宋_GB2312"/>
              </w:rPr>
              <w:t>人员配备方案</w:t>
            </w:r>
          </w:p>
        </w:tc>
        <w:tc>
          <w:tcPr>
            <w:tcW w:type="dxa" w:w="2492"/>
          </w:tcPr>
          <w:p>
            <w:pPr>
              <w:pStyle w:val="null3"/>
            </w:pPr>
            <w:r>
              <w:rPr>
                <w:rFonts w:ascii="仿宋_GB2312" w:hAnsi="仿宋_GB2312" w:cs="仿宋_GB2312" w:eastAsia="仿宋_GB2312"/>
              </w:rPr>
              <w:t>供应商结合本项目要求，配备专业的服务团队。具体包括：①人员组织机构配置；②岗位职责；③团队成员的稳定性及替补机制。 注：每具有一项得 6分，最多得 18分。在此基础上，方案中存在缺陷的，每 1 项中每有 1 处扣 2分，每项最多扣 6分，扣完为止。 备注：本文所称“缺陷”是指内容不合理、不完整或缺少关键点；非专门针对本项目或不适用本项目特性、套用其他项目内容；对同一问题前后表述矛盾；存在逻辑 漏洞、科学原理或常识错误；不利于本项目目标的实现、现有技术条件下不可能出现的情形等任意一种情形。</w:t>
            </w:r>
          </w:p>
        </w:tc>
        <w:tc>
          <w:tcPr>
            <w:tcW w:type="dxa" w:w="831"/>
          </w:tcPr>
          <w:p>
            <w:pPr>
              <w:pStyle w:val="null3"/>
              <w:jc w:val="right"/>
            </w:pPr>
            <w:r>
              <w:rPr>
                <w:rFonts w:ascii="仿宋_GB2312" w:hAnsi="仿宋_GB2312" w:cs="仿宋_GB2312" w:eastAsia="仿宋_GB2312"/>
              </w:rPr>
              <w:t>18.0000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人员配备方案.docx</w:t>
            </w:r>
          </w:p>
        </w:tc>
      </w:tr>
      <w:tr>
        <w:tc>
          <w:tcPr>
            <w:tcW w:type="dxa" w:w="831"/>
            <w:vMerge/>
          </w:tcPr>
          <w:p/>
        </w:tc>
        <w:tc>
          <w:tcPr>
            <w:tcW w:type="dxa" w:w="1661"/>
          </w:tcPr>
          <w:p>
            <w:pPr>
              <w:pStyle w:val="null3"/>
            </w:pPr>
            <w:r>
              <w:rPr>
                <w:rFonts w:ascii="仿宋_GB2312" w:hAnsi="仿宋_GB2312" w:cs="仿宋_GB2312" w:eastAsia="仿宋_GB2312"/>
              </w:rPr>
              <w:t>文艺演出方案</w:t>
            </w:r>
          </w:p>
        </w:tc>
        <w:tc>
          <w:tcPr>
            <w:tcW w:type="dxa" w:w="2492"/>
          </w:tcPr>
          <w:p>
            <w:pPr>
              <w:pStyle w:val="null3"/>
            </w:pPr>
            <w:r>
              <w:rPr>
                <w:rFonts w:ascii="仿宋_GB2312" w:hAnsi="仿宋_GB2312" w:cs="仿宋_GB2312" w:eastAsia="仿宋_GB2312"/>
              </w:rPr>
              <w:t>评审内容：文艺演出方案：①节目清单完整，歌舞等节目，单节目时长、演员人数、表演形式明确；② 主题适配：贴合采购项目主题（如实景演绎+NPC+互动），节目内容积极健康，有地方文化特色；③流程规划：含彩排、正式演出、收尾全流程时间表），实景演绎+NPC+互动实际； 赋分标准 1、完整性：方案内容完整全面，对上述各项内容均有描述及说明，得12.0分；缺1项，扣4.0分；缺3项，得0分。 2、针对性：针对性强，得6.0分；针对性一般，得4.0分；缺乏针对性，得2.0分；未按要求进行响应的，得0分。 3、可实施性：可实施性强，得6.0分；可实施性一般，得4.0分；缺乏可实施性，得2.0分；未按要求进行响应的，得0分。</w:t>
            </w:r>
          </w:p>
        </w:tc>
        <w:tc>
          <w:tcPr>
            <w:tcW w:type="dxa" w:w="831"/>
          </w:tcPr>
          <w:p>
            <w:pPr>
              <w:pStyle w:val="null3"/>
              <w:jc w:val="right"/>
            </w:pPr>
            <w:r>
              <w:rPr>
                <w:rFonts w:ascii="仿宋_GB2312" w:hAnsi="仿宋_GB2312" w:cs="仿宋_GB2312" w:eastAsia="仿宋_GB2312"/>
              </w:rPr>
              <w:t>24.0000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文艺演出方案.docx</w:t>
            </w:r>
          </w:p>
        </w:tc>
      </w:tr>
      <w:tr>
        <w:tc>
          <w:tcPr>
            <w:tcW w:type="dxa" w:w="831"/>
            <w:vMerge/>
          </w:tcPr>
          <w:p/>
        </w:tc>
        <w:tc>
          <w:tcPr>
            <w:tcW w:type="dxa" w:w="1661"/>
          </w:tcPr>
          <w:p>
            <w:pPr>
              <w:pStyle w:val="null3"/>
            </w:pPr>
            <w:r>
              <w:rPr>
                <w:rFonts w:ascii="仿宋_GB2312" w:hAnsi="仿宋_GB2312" w:cs="仿宋_GB2312" w:eastAsia="仿宋_GB2312"/>
              </w:rPr>
              <w:t>进度保障方案</w:t>
            </w:r>
          </w:p>
        </w:tc>
        <w:tc>
          <w:tcPr>
            <w:tcW w:type="dxa" w:w="2492"/>
          </w:tcPr>
          <w:p>
            <w:pPr>
              <w:pStyle w:val="null3"/>
            </w:pPr>
            <w:r>
              <w:rPr>
                <w:rFonts w:ascii="仿宋_GB2312" w:hAnsi="仿宋_GB2312" w:cs="仿宋_GB2312" w:eastAsia="仿宋_GB2312"/>
              </w:rPr>
              <w:t>一、评审内容：提供具有针对性的进度保障方案，方案内容包含①工作时间进度规划②工作程序和步骤③进度保障措施；内容全面详细、阐述条理清晰详尽。 赋分标准 1、完整性：方案内容完整全面，对上述各项内容均有描述及说明，得3.0分；缺1项，扣1.0分；缺3项，得0分。 2、针对性：针对性强，得3.0分；针对性一般，得2.0分；缺乏针对性，得1.0分；未按要求进行响应的，得0分。 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进度保障方案.docx</w:t>
            </w:r>
          </w:p>
        </w:tc>
      </w:tr>
      <w:tr>
        <w:tc>
          <w:tcPr>
            <w:tcW w:type="dxa" w:w="831"/>
            <w:vMerge/>
          </w:tcPr>
          <w:p/>
        </w:tc>
        <w:tc>
          <w:tcPr>
            <w:tcW w:type="dxa" w:w="1661"/>
          </w:tcPr>
          <w:p>
            <w:pPr>
              <w:pStyle w:val="null3"/>
            </w:pPr>
            <w:r>
              <w:rPr>
                <w:rFonts w:ascii="仿宋_GB2312" w:hAnsi="仿宋_GB2312" w:cs="仿宋_GB2312" w:eastAsia="仿宋_GB2312"/>
              </w:rPr>
              <w:t>应急措施</w:t>
            </w:r>
          </w:p>
        </w:tc>
        <w:tc>
          <w:tcPr>
            <w:tcW w:type="dxa" w:w="2492"/>
          </w:tcPr>
          <w:p>
            <w:pPr>
              <w:pStyle w:val="null3"/>
            </w:pPr>
            <w:r>
              <w:rPr>
                <w:rFonts w:ascii="仿宋_GB2312" w:hAnsi="仿宋_GB2312" w:cs="仿宋_GB2312" w:eastAsia="仿宋_GB2312"/>
              </w:rPr>
              <w:t>一、评审内容：结合本项目提出应急措施 ①设备故障（灯光、音响、展示工具）、人员突发情况（导演、编剧、舞美设计、灯光音响师、道具师、服装师突发不适）、天气影响（户外展演）、节目临时调整；② 应急措施具体：每类突发情况有明确处置流程、责任人员、响应时限（如设备故障30分钟内到场维修）； ③有应急物资清单（如备用音响、急救箱）、应急联络表（含维修人员、急救机构联系方式）。 二、赋分标准 1、完整性：方案内容完整全面，对上述各项内容均有描述及说明，得3.0分；缺1项，扣1.0分；缺3项，得0分。 2、针对性：针对性强，得3.0分；针对性一般，得2.0分；缺乏针对性，得1.0分；未按要求进行响应的，得0分。 3、可实施性：可实施性强，得3.0分；可实施性一般，得2.0分；缺乏可实施性，得1.0分；未按要求进行响应的，得0分。</w:t>
            </w:r>
          </w:p>
        </w:tc>
        <w:tc>
          <w:tcPr>
            <w:tcW w:type="dxa" w:w="831"/>
          </w:tcPr>
          <w:p>
            <w:pPr>
              <w:pStyle w:val="null3"/>
              <w:jc w:val="right"/>
            </w:pPr>
            <w:r>
              <w:rPr>
                <w:rFonts w:ascii="仿宋_GB2312" w:hAnsi="仿宋_GB2312" w:cs="仿宋_GB2312" w:eastAsia="仿宋_GB2312"/>
              </w:rPr>
              <w:t>9.0000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供应商认为需要说明的其他内容.docx</w:t>
            </w:r>
          </w:p>
          <w:p>
            <w:pPr>
              <w:pStyle w:val="null3"/>
            </w:pPr>
            <w:r>
              <w:rPr>
                <w:rFonts w:ascii="仿宋_GB2312" w:hAnsi="仿宋_GB2312" w:cs="仿宋_GB2312" w:eastAsia="仿宋_GB2312"/>
              </w:rPr>
              <w:t>应急措施.docx</w:t>
            </w:r>
          </w:p>
        </w:tc>
      </w:tr>
      <w:tr>
        <w:tc>
          <w:tcPr>
            <w:tcW w:type="dxa" w:w="831"/>
            <w:vMerge/>
          </w:tcPr>
          <w:p/>
        </w:tc>
        <w:tc>
          <w:tcPr>
            <w:tcW w:type="dxa" w:w="1661"/>
          </w:tcPr>
          <w:p>
            <w:pPr>
              <w:pStyle w:val="null3"/>
            </w:pPr>
            <w:r>
              <w:rPr>
                <w:rFonts w:ascii="仿宋_GB2312" w:hAnsi="仿宋_GB2312" w:cs="仿宋_GB2312" w:eastAsia="仿宋_GB2312"/>
              </w:rPr>
              <w:t>服务质量保证</w:t>
            </w:r>
          </w:p>
        </w:tc>
        <w:tc>
          <w:tcPr>
            <w:tcW w:type="dxa" w:w="2492"/>
          </w:tcPr>
          <w:p>
            <w:pPr>
              <w:pStyle w:val="null3"/>
            </w:pPr>
            <w:r>
              <w:rPr>
                <w:rFonts w:ascii="仿宋_GB2312" w:hAnsi="仿宋_GB2312" w:cs="仿宋_GB2312" w:eastAsia="仿宋_GB2312"/>
              </w:rPr>
              <w:t>一、评审内容：针对本项目提供详细的服务质量保证，包括但不限于： ①服务质量保证②服务时限保证③完成项目保障能力④服务保障承诺等； 二、赋分标准 1、完整性：方案内容完整全面，对上述各项内容均有描述及说明，得8.0分；缺1项，扣2.0分；缺4项，得0分。 2、针对性：针对性强，得4.0分；针对性一般，得2.0分；缺乏针对性，得1分；未按要求进行响应的，得0分。 3、可实施性：可实施性强，得4.0分；可实施性一般，得2.0分；缺乏可实施性，得1分；未按要求进行响应的，得0分。</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服务质量保证.docx</w:t>
            </w:r>
          </w:p>
          <w:p>
            <w:pPr>
              <w:pStyle w:val="null3"/>
            </w:pPr>
            <w:r>
              <w:rPr>
                <w:rFonts w:ascii="仿宋_GB2312" w:hAnsi="仿宋_GB2312" w:cs="仿宋_GB2312" w:eastAsia="仿宋_GB2312"/>
              </w:rPr>
              <w:t>供应商认为需要说明的其他内容.docx</w:t>
            </w:r>
          </w:p>
        </w:tc>
      </w:tr>
      <w:tr>
        <w:tc>
          <w:tcPr>
            <w:tcW w:type="dxa" w:w="831"/>
            <w:vMerge/>
          </w:tcPr>
          <w:p/>
        </w:tc>
        <w:tc>
          <w:tcPr>
            <w:tcW w:type="dxa" w:w="1661"/>
          </w:tcPr>
          <w:p>
            <w:pPr>
              <w:pStyle w:val="null3"/>
            </w:pPr>
            <w:r>
              <w:rPr>
                <w:rFonts w:ascii="仿宋_GB2312" w:hAnsi="仿宋_GB2312" w:cs="仿宋_GB2312" w:eastAsia="仿宋_GB2312"/>
              </w:rPr>
              <w:t>安全保障措施</w:t>
            </w:r>
          </w:p>
        </w:tc>
        <w:tc>
          <w:tcPr>
            <w:tcW w:type="dxa" w:w="2492"/>
          </w:tcPr>
          <w:p>
            <w:pPr>
              <w:pStyle w:val="null3"/>
            </w:pPr>
            <w:r>
              <w:rPr>
                <w:rFonts w:ascii="仿宋_GB2312" w:hAnsi="仿宋_GB2312" w:cs="仿宋_GB2312" w:eastAsia="仿宋_GB2312"/>
              </w:rPr>
              <w:t>评审内容：针对本项目具体情况，供应商提供可靠的安全保障方案（包括但不限于活动现场①治安②消防③观众进退场等）。 赋分标准 1、完整性：方案内容完整全面，对上述各项内容均有描述及说明，得4.5分；缺1项，扣1.5分；缺3项，得0分。 2、针对性、可行性：针对性强、可行性强，得3.5分；针对性强、可行性一般，得2.5分；缺乏针对性、缺乏可行性，得1.5分；未按要求进行响应的，得0分。</w:t>
            </w:r>
          </w:p>
        </w:tc>
        <w:tc>
          <w:tcPr>
            <w:tcW w:type="dxa" w:w="831"/>
          </w:tcPr>
          <w:p>
            <w:pPr>
              <w:pStyle w:val="null3"/>
              <w:jc w:val="right"/>
            </w:pPr>
            <w:r>
              <w:rPr>
                <w:rFonts w:ascii="仿宋_GB2312" w:hAnsi="仿宋_GB2312" w:cs="仿宋_GB2312" w:eastAsia="仿宋_GB2312"/>
              </w:rPr>
              <w:t>8.0000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安全保障措施.docx</w:t>
            </w:r>
          </w:p>
          <w:p>
            <w:pPr>
              <w:pStyle w:val="null3"/>
            </w:pPr>
            <w:r>
              <w:rPr>
                <w:rFonts w:ascii="仿宋_GB2312" w:hAnsi="仿宋_GB2312" w:cs="仿宋_GB2312" w:eastAsia="仿宋_GB2312"/>
              </w:rPr>
              <w:t>供应商认为需要说明的其他内容.docx</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1、上限为采购预算价，即报价大于上限价视为无效标； 2、以满足本次磋商文件要求的最低报价为评审基准价，其价格为满分； 供应商报价得分=（评审基准价/报价）× 10</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详见附件：安全保障措施.docx</w:t>
      </w:r>
    </w:p>
    <w:p>
      <w:pPr>
        <w:pStyle w:val="null3"/>
        <w:ind w:firstLine="960"/>
      </w:pPr>
      <w:r>
        <w:rPr>
          <w:rFonts w:ascii="仿宋_GB2312" w:hAnsi="仿宋_GB2312" w:cs="仿宋_GB2312" w:eastAsia="仿宋_GB2312"/>
        </w:rPr>
        <w:t>详见附件：保证金.pdf</w:t>
      </w:r>
    </w:p>
    <w:p>
      <w:pPr>
        <w:pStyle w:val="null3"/>
        <w:ind w:firstLine="960"/>
      </w:pPr>
      <w:r>
        <w:rPr>
          <w:rFonts w:ascii="仿宋_GB2312" w:hAnsi="仿宋_GB2312" w:cs="仿宋_GB2312" w:eastAsia="仿宋_GB2312"/>
        </w:rPr>
        <w:t>详见附件：法定代表人证明书或授权委托书.docx</w:t>
      </w:r>
    </w:p>
    <w:p>
      <w:pPr>
        <w:pStyle w:val="null3"/>
        <w:ind w:firstLine="960"/>
      </w:pPr>
      <w:r>
        <w:rPr>
          <w:rFonts w:ascii="仿宋_GB2312" w:hAnsi="仿宋_GB2312" w:cs="仿宋_GB2312" w:eastAsia="仿宋_GB2312"/>
        </w:rPr>
        <w:t>详见附件：服务质量保证.docx</w:t>
      </w:r>
    </w:p>
    <w:p>
      <w:pPr>
        <w:pStyle w:val="null3"/>
        <w:ind w:firstLine="960"/>
      </w:pPr>
      <w:r>
        <w:rPr>
          <w:rFonts w:ascii="仿宋_GB2312" w:hAnsi="仿宋_GB2312" w:cs="仿宋_GB2312" w:eastAsia="仿宋_GB2312"/>
        </w:rPr>
        <w:t>详见附件：供应商认为需要说明的其他内容.docx</w:t>
      </w:r>
    </w:p>
    <w:p>
      <w:pPr>
        <w:pStyle w:val="null3"/>
        <w:ind w:firstLine="960"/>
      </w:pPr>
      <w:r>
        <w:rPr>
          <w:rFonts w:ascii="仿宋_GB2312" w:hAnsi="仿宋_GB2312" w:cs="仿宋_GB2312" w:eastAsia="仿宋_GB2312"/>
        </w:rPr>
        <w:t>详见附件：供应商应提交的相关资格证明材料.docx</w:t>
      </w:r>
    </w:p>
    <w:p>
      <w:pPr>
        <w:pStyle w:val="null3"/>
        <w:ind w:firstLine="960"/>
      </w:pPr>
      <w:r>
        <w:rPr>
          <w:rFonts w:ascii="仿宋_GB2312" w:hAnsi="仿宋_GB2312" w:cs="仿宋_GB2312" w:eastAsia="仿宋_GB2312"/>
        </w:rPr>
        <w:t>详见附件：汉中市政府采购供应商资格承诺函.pdf</w:t>
      </w:r>
    </w:p>
    <w:p>
      <w:pPr>
        <w:pStyle w:val="null3"/>
        <w:ind w:firstLine="960"/>
      </w:pPr>
      <w:r>
        <w:rPr>
          <w:rFonts w:ascii="仿宋_GB2312" w:hAnsi="仿宋_GB2312" w:cs="仿宋_GB2312" w:eastAsia="仿宋_GB2312"/>
        </w:rPr>
        <w:t>详见附件：进度保障方案.docx</w:t>
      </w:r>
    </w:p>
    <w:p>
      <w:pPr>
        <w:pStyle w:val="null3"/>
        <w:ind w:firstLine="960"/>
      </w:pPr>
      <w:r>
        <w:rPr>
          <w:rFonts w:ascii="仿宋_GB2312" w:hAnsi="仿宋_GB2312" w:cs="仿宋_GB2312" w:eastAsia="仿宋_GB2312"/>
        </w:rPr>
        <w:t>详见附件：控股承诺.docx</w:t>
      </w:r>
    </w:p>
    <w:p>
      <w:pPr>
        <w:pStyle w:val="null3"/>
        <w:ind w:firstLine="960"/>
      </w:pPr>
      <w:r>
        <w:rPr>
          <w:rFonts w:ascii="仿宋_GB2312" w:hAnsi="仿宋_GB2312" w:cs="仿宋_GB2312" w:eastAsia="仿宋_GB2312"/>
        </w:rPr>
        <w:t>详见附件：人员配备方案.docx</w:t>
      </w:r>
    </w:p>
    <w:p>
      <w:pPr>
        <w:pStyle w:val="null3"/>
        <w:ind w:firstLine="960"/>
      </w:pPr>
      <w:r>
        <w:rPr>
          <w:rFonts w:ascii="仿宋_GB2312" w:hAnsi="仿宋_GB2312" w:cs="仿宋_GB2312" w:eastAsia="仿宋_GB2312"/>
        </w:rPr>
        <w:t>详见附件：文艺演出方案.docx</w:t>
      </w:r>
    </w:p>
    <w:p>
      <w:pPr>
        <w:pStyle w:val="null3"/>
        <w:ind w:firstLine="960"/>
      </w:pPr>
      <w:r>
        <w:rPr>
          <w:rFonts w:ascii="仿宋_GB2312" w:hAnsi="仿宋_GB2312" w:cs="仿宋_GB2312" w:eastAsia="仿宋_GB2312"/>
        </w:rPr>
        <w:t>详见附件：应急措施.docx</w:t>
      </w:r>
    </w:p>
    <w:p>
      <w:pPr>
        <w:pStyle w:val="null3"/>
        <w:ind w:firstLine="960"/>
      </w:pPr>
      <w:r>
        <w:rPr>
          <w:rFonts w:ascii="仿宋_GB2312" w:hAnsi="仿宋_GB2312" w:cs="仿宋_GB2312" w:eastAsia="仿宋_GB2312"/>
        </w:rPr>
        <w:t>详见附件：业绩一览表.docx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详见附件：服务合同.docx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