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版本号：ZCHZCG-2026-002.1B120260320001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留坝县火烧店镇中西沟村房车营地建设项目（二期）(二次)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ZCHZCG-2026-002.1B1</w:t>
      </w:r>
      <w:r>
        <w:br/>
      </w:r>
      <w:r>
        <w:br/>
      </w:r>
      <w:r>
        <w:br/>
      </w:r>
    </w:p>
    <w:p>
      <w:pPr>
        <w:pStyle w:val="null3"/>
        <w:jc w:val="center"/>
        <w:outlineLvl w:val="2"/>
      </w:pPr>
      <w:r>
        <w:rPr>
          <w:rFonts w:ascii="仿宋_GB2312" w:hAnsi="仿宋_GB2312" w:cs="仿宋_GB2312" w:eastAsia="仿宋_GB2312"/>
          <w:sz w:val="28"/>
          <w:b/>
        </w:rPr>
        <w:t>留坝县火烧店镇人民政府</w:t>
      </w:r>
    </w:p>
    <w:p>
      <w:pPr>
        <w:pStyle w:val="null3"/>
        <w:jc w:val="center"/>
        <w:outlineLvl w:val="2"/>
      </w:pPr>
      <w:r>
        <w:rPr>
          <w:rFonts w:ascii="仿宋_GB2312" w:hAnsi="仿宋_GB2312" w:cs="仿宋_GB2312" w:eastAsia="仿宋_GB2312"/>
          <w:sz w:val="28"/>
          <w:b/>
        </w:rPr>
        <w:t>正昌国际项目管理有限公司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正昌国际项目管理有限公司</w:t>
      </w:r>
      <w:r>
        <w:rPr>
          <w:rFonts w:ascii="仿宋_GB2312" w:hAnsi="仿宋_GB2312" w:cs="仿宋_GB2312" w:eastAsia="仿宋_GB2312"/>
        </w:rPr>
        <w:t>（以下简称“代理机构”）受</w:t>
      </w:r>
      <w:r>
        <w:rPr>
          <w:rFonts w:ascii="仿宋_GB2312" w:hAnsi="仿宋_GB2312" w:cs="仿宋_GB2312" w:eastAsia="仿宋_GB2312"/>
        </w:rPr>
        <w:t>留坝县火烧店镇人民政府</w:t>
      </w:r>
      <w:r>
        <w:rPr>
          <w:rFonts w:ascii="仿宋_GB2312" w:hAnsi="仿宋_GB2312" w:cs="仿宋_GB2312" w:eastAsia="仿宋_GB2312"/>
        </w:rPr>
        <w:t>委托，拟对</w:t>
      </w:r>
      <w:r>
        <w:rPr>
          <w:rFonts w:ascii="仿宋_GB2312" w:hAnsi="仿宋_GB2312" w:cs="仿宋_GB2312" w:eastAsia="仿宋_GB2312"/>
        </w:rPr>
        <w:t>留坝县火烧店镇中西沟村房车营地建设项目（二期）(二次)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ZCHZCG-2026-002.1B1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留坝县火烧店镇中西沟村房车营地建设项目（二期）(二次)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购买营地房车5套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采购包1（留坝县火烧店镇中西沟村房车营地建设项目（二期））：属于专门面向中小企业采购。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 提供营业执照复印件或电子件（事业单位须事业单位法人证、组织机构代码证等证明文件；其他组织应提供合法证明文件）。</w:t>
      </w:r>
    </w:p>
    <w:p>
      <w:pPr>
        <w:pStyle w:val="null3"/>
      </w:pPr>
      <w:r>
        <w:rPr>
          <w:rFonts w:ascii="仿宋_GB2312" w:hAnsi="仿宋_GB2312" w:cs="仿宋_GB2312" w:eastAsia="仿宋_GB2312"/>
        </w:rPr>
        <w:t>2、授权委托：供应商需提供法定代表人授权书（附法定代表人身份证复印件）及被授权人身份证复印件（法定代表人直接参加投标只须提供法定代表人身份证复印件）。</w:t>
      </w:r>
    </w:p>
    <w:p>
      <w:pPr>
        <w:pStyle w:val="null3"/>
      </w:pPr>
      <w:r>
        <w:rPr>
          <w:rFonts w:ascii="仿宋_GB2312" w:hAnsi="仿宋_GB2312" w:cs="仿宋_GB2312" w:eastAsia="仿宋_GB2312"/>
        </w:rPr>
        <w:t>3、供应商资质要求：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 号）文件要求，提供资格承诺函。</w:t>
      </w:r>
    </w:p>
    <w:p>
      <w:pPr>
        <w:pStyle w:val="null3"/>
      </w:pPr>
      <w:r>
        <w:rPr>
          <w:rFonts w:ascii="仿宋_GB2312" w:hAnsi="仿宋_GB2312" w:cs="仿宋_GB2312" w:eastAsia="仿宋_GB2312"/>
        </w:rPr>
        <w:t>4、非联合体磋商：提供非联合体声明磋商承诺。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留坝县火烧店镇人民政府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留坝县火烧店镇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18220549857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正昌国际项目管理有限公司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陕西省汉中市汉台区过街楼村南一环路 202 号（汉台区检察院斜对面巷内）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19992675966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开户名称：正昌国际项目管理有限公司汉中分公司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银行账号：2606021609200076314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计价格〔2002〕1980号）、《国发改办公厅关于招标代理服务收费有关问题的通知》（发改办价格〔2003〕857号）以及《国家发展改革委关于降低部分建设项目收费标准规范收费行为等有关问题的通知》(发改价格〔2011〕534号)文</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留坝县火烧店镇人民政府</w:t>
      </w:r>
      <w:r>
        <w:rPr>
          <w:rFonts w:ascii="仿宋_GB2312" w:hAnsi="仿宋_GB2312" w:cs="仿宋_GB2312" w:eastAsia="仿宋_GB2312"/>
        </w:rPr>
        <w:t>和</w:t>
      </w:r>
      <w:r>
        <w:rPr>
          <w:rFonts w:ascii="仿宋_GB2312" w:hAnsi="仿宋_GB2312" w:cs="仿宋_GB2312" w:eastAsia="仿宋_GB2312"/>
        </w:rPr>
        <w:t>正昌国际项目管理有限公司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留坝县火烧店镇人民政府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正昌国际项目管理有限公司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正昌国际项目管理有限公司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货物质量符合行业现行相关规定的合格标准。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联系人：陈女士</w:t>
      </w:r>
    </w:p>
    <w:p>
      <w:pPr>
        <w:pStyle w:val="null3"/>
      </w:pPr>
      <w:r>
        <w:rPr>
          <w:rFonts w:ascii="仿宋_GB2312" w:hAnsi="仿宋_GB2312" w:cs="仿宋_GB2312" w:eastAsia="仿宋_GB2312"/>
        </w:rPr>
        <w:t>联系电话：19992675966</w:t>
      </w:r>
    </w:p>
    <w:p>
      <w:pPr>
        <w:pStyle w:val="null3"/>
      </w:pPr>
      <w:r>
        <w:rPr>
          <w:rFonts w:ascii="仿宋_GB2312" w:hAnsi="仿宋_GB2312" w:cs="仿宋_GB2312" w:eastAsia="仿宋_GB2312"/>
        </w:rPr>
        <w:t>地址：陕西省汉中市汉台区过街楼村南一环路 202 号（汉台区检察院斜对面巷内）</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购买营地房车5套。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房车</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辆</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标的名称：房车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一、主要技术参数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外型尺寸（长</w:t>
            </w:r>
            <w:r>
              <w:rPr>
                <w:rFonts w:ascii="仿宋_GB2312" w:hAnsi="仿宋_GB2312" w:cs="仿宋_GB2312" w:eastAsia="仿宋_GB2312"/>
                <w:sz w:val="21"/>
              </w:rPr>
              <w:t>×宽×高）≥10500</w:t>
            </w:r>
            <w:r>
              <w:rPr>
                <w:rFonts w:ascii="仿宋_GB2312" w:hAnsi="仿宋_GB2312" w:cs="仿宋_GB2312" w:eastAsia="仿宋_GB2312"/>
                <w:sz w:val="21"/>
              </w:rPr>
              <w:t>mm</w:t>
            </w:r>
            <w:r>
              <w:rPr>
                <w:rFonts w:ascii="仿宋_GB2312" w:hAnsi="仿宋_GB2312" w:cs="仿宋_GB2312" w:eastAsia="仿宋_GB2312"/>
                <w:sz w:val="21"/>
              </w:rPr>
              <w:t>×2900</w:t>
            </w:r>
            <w:r>
              <w:rPr>
                <w:rFonts w:ascii="仿宋_GB2312" w:hAnsi="仿宋_GB2312" w:cs="仿宋_GB2312" w:eastAsia="仿宋_GB2312"/>
                <w:sz w:val="21"/>
              </w:rPr>
              <w:t>mm</w:t>
            </w:r>
            <w:r>
              <w:rPr>
                <w:rFonts w:ascii="仿宋_GB2312" w:hAnsi="仿宋_GB2312" w:cs="仿宋_GB2312" w:eastAsia="仿宋_GB2312"/>
                <w:sz w:val="21"/>
              </w:rPr>
              <w:t>×2850mm；</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总重量：</w:t>
            </w:r>
            <w:r>
              <w:rPr>
                <w:rFonts w:ascii="仿宋_GB2312" w:hAnsi="仿宋_GB2312" w:cs="仿宋_GB2312" w:eastAsia="仿宋_GB2312"/>
                <w:sz w:val="21"/>
              </w:rPr>
              <w:t>2</w:t>
            </w:r>
            <w:r>
              <w:rPr>
                <w:rFonts w:ascii="仿宋_GB2312" w:hAnsi="仿宋_GB2312" w:cs="仿宋_GB2312" w:eastAsia="仿宋_GB2312"/>
                <w:sz w:val="21"/>
              </w:rPr>
              <w:t>500≤总重量（kg）≤2550；</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实用面积</w:t>
            </w:r>
            <w:r>
              <w:rPr>
                <w:rFonts w:ascii="仿宋_GB2312" w:hAnsi="仿宋_GB2312" w:cs="仿宋_GB2312" w:eastAsia="仿宋_GB2312"/>
                <w:sz w:val="21"/>
              </w:rPr>
              <w:t>≥26.3m²；</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最大功率</w:t>
            </w:r>
            <w:r>
              <w:rPr>
                <w:rFonts w:ascii="仿宋_GB2312" w:hAnsi="仿宋_GB2312" w:cs="仿宋_GB2312" w:eastAsia="仿宋_GB2312"/>
                <w:sz w:val="21"/>
              </w:rPr>
              <w:t>≥16.00kw；</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入住客人</w:t>
            </w:r>
            <w:r>
              <w:rPr>
                <w:rFonts w:ascii="仿宋_GB2312" w:hAnsi="仿宋_GB2312" w:cs="仿宋_GB2312" w:eastAsia="仿宋_GB2312"/>
                <w:sz w:val="21"/>
              </w:rPr>
              <w:t>≥4人。</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pPr>
            <w:r>
              <w:rPr>
                <w:rFonts w:ascii="仿宋_GB2312" w:hAnsi="仿宋_GB2312" w:cs="仿宋_GB2312" w:eastAsia="仿宋_GB2312"/>
                <w:sz w:val="21"/>
              </w:rPr>
              <w:t>二、</w:t>
            </w:r>
            <w:r>
              <w:rPr>
                <w:rFonts w:ascii="仿宋_GB2312" w:hAnsi="仿宋_GB2312" w:cs="仿宋_GB2312" w:eastAsia="仿宋_GB2312"/>
                <w:sz w:val="21"/>
              </w:rPr>
              <w:t>主体结构</w:t>
            </w:r>
          </w:p>
          <w:p>
            <w:pPr>
              <w:pStyle w:val="null3"/>
            </w:pPr>
            <w:r>
              <w:rPr>
                <w:rFonts w:ascii="仿宋_GB2312" w:hAnsi="仿宋_GB2312" w:cs="仿宋_GB2312" w:eastAsia="仿宋_GB2312"/>
                <w:sz w:val="21"/>
              </w:rPr>
              <w:t>1、应为镀锌方管钢结构框架</w:t>
            </w:r>
            <w:r>
              <w:rPr>
                <w:rFonts w:ascii="仿宋_GB2312" w:hAnsi="仿宋_GB2312" w:cs="仿宋_GB2312" w:eastAsia="仿宋_GB2312"/>
                <w:sz w:val="21"/>
              </w:rPr>
              <w:t>+</w:t>
            </w:r>
            <w:r>
              <w:rPr>
                <w:rFonts w:ascii="仿宋_GB2312" w:hAnsi="仿宋_GB2312" w:cs="仿宋_GB2312" w:eastAsia="仿宋_GB2312"/>
                <w:sz w:val="21"/>
              </w:rPr>
              <w:t>硬质聚氨酯隔热保温（复合板）；</w:t>
            </w:r>
          </w:p>
          <w:p>
            <w:pPr>
              <w:pStyle w:val="null3"/>
            </w:pPr>
            <w:r>
              <w:rPr>
                <w:rFonts w:ascii="仿宋_GB2312" w:hAnsi="仿宋_GB2312" w:cs="仿宋_GB2312" w:eastAsia="仿宋_GB2312"/>
                <w:sz w:val="21"/>
              </w:rPr>
              <w:t>2、</w:t>
            </w:r>
            <w:r>
              <w:rPr>
                <w:rFonts w:ascii="仿宋_GB2312" w:hAnsi="仿宋_GB2312" w:cs="仿宋_GB2312" w:eastAsia="仿宋_GB2312"/>
                <w:sz w:val="21"/>
              </w:rPr>
              <w:t>入户门应配备智能门禁功能。</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pPr>
            <w:r>
              <w:rPr>
                <w:rFonts w:ascii="仿宋_GB2312" w:hAnsi="仿宋_GB2312" w:cs="仿宋_GB2312" w:eastAsia="仿宋_GB2312"/>
                <w:sz w:val="21"/>
              </w:rPr>
              <w:t>三、</w:t>
            </w:r>
            <w:r>
              <w:rPr>
                <w:rFonts w:ascii="仿宋_GB2312" w:hAnsi="仿宋_GB2312" w:cs="仿宋_GB2312" w:eastAsia="仿宋_GB2312"/>
                <w:sz w:val="21"/>
              </w:rPr>
              <w:t>内装配置</w:t>
            </w:r>
          </w:p>
          <w:p>
            <w:pPr>
              <w:pStyle w:val="null3"/>
              <w:spacing w:before="105" w:after="105"/>
            </w:pPr>
            <w:r>
              <w:rPr>
                <w:rFonts w:ascii="仿宋_GB2312" w:hAnsi="仿宋_GB2312" w:cs="仿宋_GB2312" w:eastAsia="仿宋_GB2312"/>
                <w:sz w:val="21"/>
              </w:rPr>
              <w:t>1、</w:t>
            </w:r>
            <w:r>
              <w:rPr>
                <w:rFonts w:ascii="仿宋_GB2312" w:hAnsi="仿宋_GB2312" w:cs="仿宋_GB2312" w:eastAsia="仿宋_GB2312"/>
                <w:sz w:val="21"/>
              </w:rPr>
              <w:t>地面应铺设实木地板；</w:t>
            </w:r>
          </w:p>
          <w:p>
            <w:pPr>
              <w:pStyle w:val="null3"/>
              <w:spacing w:before="105" w:after="105"/>
            </w:pPr>
            <w:r>
              <w:rPr>
                <w:rFonts w:ascii="仿宋_GB2312" w:hAnsi="仿宋_GB2312" w:cs="仿宋_GB2312" w:eastAsia="仿宋_GB2312"/>
                <w:sz w:val="21"/>
              </w:rPr>
              <w:t>2、</w:t>
            </w:r>
            <w:r>
              <w:rPr>
                <w:rFonts w:ascii="仿宋_GB2312" w:hAnsi="仿宋_GB2312" w:cs="仿宋_GB2312" w:eastAsia="仿宋_GB2312"/>
                <w:sz w:val="21"/>
              </w:rPr>
              <w:t>室内灯效应具有照明灯</w:t>
            </w:r>
            <w:r>
              <w:rPr>
                <w:rFonts w:ascii="仿宋_GB2312" w:hAnsi="仿宋_GB2312" w:cs="仿宋_GB2312" w:eastAsia="仿宋_GB2312"/>
                <w:sz w:val="21"/>
              </w:rPr>
              <w:t>+筒灯+氛围灯；</w:t>
            </w:r>
          </w:p>
          <w:p>
            <w:pPr>
              <w:pStyle w:val="null3"/>
              <w:spacing w:before="105" w:after="105"/>
            </w:pPr>
            <w:r>
              <w:rPr>
                <w:rFonts w:ascii="仿宋_GB2312" w:hAnsi="仿宋_GB2312" w:cs="仿宋_GB2312" w:eastAsia="仿宋_GB2312"/>
                <w:sz w:val="21"/>
              </w:rPr>
              <w:t>3、</w:t>
            </w:r>
            <w:r>
              <w:rPr>
                <w:rFonts w:ascii="仿宋_GB2312" w:hAnsi="仿宋_GB2312" w:cs="仿宋_GB2312" w:eastAsia="仿宋_GB2312"/>
                <w:sz w:val="21"/>
              </w:rPr>
              <w:t>室内的插座及开关面板应采用国内一线品牌；</w:t>
            </w:r>
          </w:p>
          <w:p>
            <w:pPr>
              <w:pStyle w:val="null3"/>
            </w:pPr>
            <w:r>
              <w:rPr>
                <w:rFonts w:ascii="仿宋_GB2312" w:hAnsi="仿宋_GB2312" w:cs="仿宋_GB2312" w:eastAsia="仿宋_GB2312"/>
                <w:sz w:val="21"/>
              </w:rPr>
              <w:t>4、</w:t>
            </w:r>
            <w:r>
              <w:rPr>
                <w:rFonts w:ascii="仿宋_GB2312" w:hAnsi="仿宋_GB2312" w:cs="仿宋_GB2312" w:eastAsia="仿宋_GB2312"/>
                <w:sz w:val="21"/>
              </w:rPr>
              <w:t>室内应设有挂衣柜、烟雾报警器、应急灯及标准设备柜等。</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卫浴五金</w:t>
            </w:r>
          </w:p>
          <w:p>
            <w:pPr>
              <w:pStyle w:val="null3"/>
              <w:jc w:val="both"/>
            </w:pPr>
            <w:r>
              <w:rPr>
                <w:rFonts w:ascii="仿宋_GB2312" w:hAnsi="仿宋_GB2312" w:cs="仿宋_GB2312" w:eastAsia="仿宋_GB2312"/>
                <w:sz w:val="21"/>
              </w:rPr>
              <w:t>1、卫生间应具备干湿分离功能；</w:t>
            </w:r>
          </w:p>
          <w:p>
            <w:pPr>
              <w:pStyle w:val="null3"/>
              <w:jc w:val="both"/>
            </w:pPr>
            <w:r>
              <w:rPr>
                <w:rFonts w:ascii="仿宋_GB2312" w:hAnsi="仿宋_GB2312" w:cs="仿宋_GB2312" w:eastAsia="仿宋_GB2312"/>
                <w:sz w:val="21"/>
              </w:rPr>
              <w:t>2、配置</w:t>
            </w:r>
            <w:r>
              <w:rPr>
                <w:rFonts w:ascii="仿宋_GB2312" w:hAnsi="仿宋_GB2312" w:cs="仿宋_GB2312" w:eastAsia="仿宋_GB2312"/>
                <w:sz w:val="21"/>
              </w:rPr>
              <w:t>智能马桶，需求：带座圈加热；</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配置</w:t>
            </w:r>
            <w:r>
              <w:rPr>
                <w:rFonts w:ascii="仿宋_GB2312" w:hAnsi="仿宋_GB2312" w:cs="仿宋_GB2312" w:eastAsia="仿宋_GB2312"/>
                <w:sz w:val="21"/>
              </w:rPr>
              <w:t>台盆，需求：尺寸</w:t>
            </w:r>
            <w:r>
              <w:rPr>
                <w:rFonts w:ascii="仿宋_GB2312" w:hAnsi="仿宋_GB2312" w:cs="仿宋_GB2312" w:eastAsia="仿宋_GB2312"/>
                <w:sz w:val="21"/>
              </w:rPr>
              <w:t>≥510mm×380mm</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应配置花洒、水龙头、纸巾架、淋浴区置物架、化妆镜。</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电器设备</w:t>
            </w:r>
          </w:p>
          <w:p>
            <w:pPr>
              <w:pStyle w:val="null3"/>
              <w:jc w:val="both"/>
            </w:pPr>
            <w:r>
              <w:rPr>
                <w:rFonts w:ascii="仿宋_GB2312" w:hAnsi="仿宋_GB2312" w:cs="仿宋_GB2312" w:eastAsia="仿宋_GB2312"/>
                <w:sz w:val="21"/>
              </w:rPr>
              <w:t>1、内</w:t>
            </w:r>
            <w:r>
              <w:rPr>
                <w:rFonts w:ascii="仿宋_GB2312" w:hAnsi="仿宋_GB2312" w:cs="仿宋_GB2312" w:eastAsia="仿宋_GB2312"/>
                <w:sz w:val="21"/>
              </w:rPr>
              <w:t>部应配置品牌空调两台，需求：单台功率</w:t>
            </w:r>
            <w:r>
              <w:rPr>
                <w:rFonts w:ascii="仿宋_GB2312" w:hAnsi="仿宋_GB2312" w:cs="仿宋_GB2312" w:eastAsia="仿宋_GB2312"/>
                <w:sz w:val="21"/>
              </w:rPr>
              <w:t>≥</w:t>
            </w:r>
            <w:r>
              <w:rPr>
                <w:rFonts w:ascii="仿宋_GB2312" w:hAnsi="仿宋_GB2312" w:cs="仿宋_GB2312" w:eastAsia="仿宋_GB2312"/>
                <w:sz w:val="21"/>
              </w:rPr>
              <w:t>700w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2、配置</w:t>
            </w:r>
            <w:r>
              <w:rPr>
                <w:rFonts w:ascii="仿宋_GB2312" w:hAnsi="仿宋_GB2312" w:cs="仿宋_GB2312" w:eastAsia="仿宋_GB2312"/>
                <w:sz w:val="21"/>
              </w:rPr>
              <w:t>储水式热水器，需求：储水量</w:t>
            </w:r>
            <w:r>
              <w:rPr>
                <w:rFonts w:ascii="仿宋_GB2312" w:hAnsi="仿宋_GB2312" w:cs="仿宋_GB2312" w:eastAsia="仿宋_GB2312"/>
                <w:sz w:val="21"/>
              </w:rPr>
              <w:t>≥</w:t>
            </w:r>
            <w:r>
              <w:rPr>
                <w:rFonts w:ascii="仿宋_GB2312" w:hAnsi="仿宋_GB2312" w:cs="仿宋_GB2312" w:eastAsia="仿宋_GB2312"/>
                <w:sz w:val="21"/>
              </w:rPr>
              <w:t>25L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3、配置</w:t>
            </w:r>
            <w:r>
              <w:rPr>
                <w:rFonts w:ascii="仿宋_GB2312" w:hAnsi="仿宋_GB2312" w:cs="仿宋_GB2312" w:eastAsia="仿宋_GB2312"/>
                <w:sz w:val="21"/>
              </w:rPr>
              <w:t>电视机，需求：屏幕尺寸</w:t>
            </w:r>
            <w:r>
              <w:rPr>
                <w:rFonts w:ascii="仿宋_GB2312" w:hAnsi="仿宋_GB2312" w:cs="仿宋_GB2312" w:eastAsia="仿宋_GB2312"/>
                <w:sz w:val="21"/>
              </w:rPr>
              <w:t>≥</w:t>
            </w:r>
            <w:r>
              <w:rPr>
                <w:rFonts w:ascii="仿宋_GB2312" w:hAnsi="仿宋_GB2312" w:cs="仿宋_GB2312" w:eastAsia="仿宋_GB2312"/>
                <w:sz w:val="21"/>
              </w:rPr>
              <w:t>40寸；</w:t>
            </w:r>
          </w:p>
          <w:p>
            <w:pPr>
              <w:pStyle w:val="null3"/>
              <w:jc w:val="both"/>
            </w:pPr>
            <w:r>
              <w:rPr>
                <w:rFonts w:ascii="仿宋_GB2312" w:hAnsi="仿宋_GB2312" w:cs="仿宋_GB2312" w:eastAsia="仿宋_GB2312"/>
                <w:sz w:val="21"/>
              </w:rPr>
              <w:t>4、配置</w:t>
            </w:r>
            <w:r>
              <w:rPr>
                <w:rFonts w:ascii="仿宋_GB2312" w:hAnsi="仿宋_GB2312" w:cs="仿宋_GB2312" w:eastAsia="仿宋_GB2312"/>
                <w:sz w:val="21"/>
              </w:rPr>
              <w:t>冰箱，需求：容积</w:t>
            </w:r>
            <w:r>
              <w:rPr>
                <w:rFonts w:ascii="仿宋_GB2312" w:hAnsi="仿宋_GB2312" w:cs="仿宋_GB2312" w:eastAsia="仿宋_GB2312"/>
                <w:sz w:val="21"/>
              </w:rPr>
              <w:t>≥</w:t>
            </w:r>
            <w:r>
              <w:rPr>
                <w:rFonts w:ascii="仿宋_GB2312" w:hAnsi="仿宋_GB2312" w:cs="仿宋_GB2312" w:eastAsia="仿宋_GB2312"/>
                <w:sz w:val="21"/>
              </w:rPr>
              <w:t>60L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5、配置</w:t>
            </w:r>
            <w:r>
              <w:rPr>
                <w:rFonts w:ascii="仿宋_GB2312" w:hAnsi="仿宋_GB2312" w:cs="仿宋_GB2312" w:eastAsia="仿宋_GB2312"/>
                <w:sz w:val="21"/>
              </w:rPr>
              <w:t>换气扇，需求：顶置换气；</w:t>
            </w:r>
          </w:p>
          <w:p>
            <w:pPr>
              <w:pStyle w:val="null3"/>
            </w:pPr>
            <w:r>
              <w:rPr>
                <w:rFonts w:ascii="仿宋_GB2312" w:hAnsi="仿宋_GB2312" w:cs="仿宋_GB2312" w:eastAsia="仿宋_GB2312"/>
                <w:sz w:val="21"/>
              </w:rPr>
              <w:t>6、配置</w:t>
            </w:r>
            <w:r>
              <w:rPr>
                <w:rFonts w:ascii="仿宋_GB2312" w:hAnsi="仿宋_GB2312" w:cs="仿宋_GB2312" w:eastAsia="仿宋_GB2312"/>
                <w:sz w:val="21"/>
              </w:rPr>
              <w:t>电热毛巾烘干架、浴霸。</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六、</w:t>
            </w:r>
            <w:r>
              <w:rPr>
                <w:rFonts w:ascii="仿宋_GB2312" w:hAnsi="仿宋_GB2312" w:cs="仿宋_GB2312" w:eastAsia="仿宋_GB2312"/>
                <w:sz w:val="21"/>
              </w:rPr>
              <w:t>其余配置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应配置露台、楼梯、室外平台、户外遮阳棚；</w:t>
            </w:r>
          </w:p>
          <w:p>
            <w:pPr>
              <w:pStyle w:val="null3"/>
            </w:pPr>
            <w:r>
              <w:rPr>
                <w:rFonts w:ascii="仿宋_GB2312" w:hAnsi="仿宋_GB2312" w:cs="仿宋_GB2312" w:eastAsia="仿宋_GB2312"/>
                <w:sz w:val="21"/>
              </w:rPr>
              <w:t>2、</w:t>
            </w:r>
            <w:r>
              <w:rPr>
                <w:rFonts w:ascii="仿宋_GB2312" w:hAnsi="仿宋_GB2312" w:cs="仿宋_GB2312" w:eastAsia="仿宋_GB2312"/>
                <w:sz w:val="21"/>
              </w:rPr>
              <w:t>应配置高端大床</w:t>
            </w:r>
            <w:r>
              <w:rPr>
                <w:rFonts w:ascii="仿宋_GB2312" w:hAnsi="仿宋_GB2312" w:cs="仿宋_GB2312" w:eastAsia="仿宋_GB2312"/>
                <w:sz w:val="21"/>
              </w:rPr>
              <w:t>2×1.5m</w:t>
            </w:r>
            <w:r>
              <w:rPr>
                <w:rFonts w:ascii="仿宋_GB2312" w:hAnsi="仿宋_GB2312" w:cs="仿宋_GB2312" w:eastAsia="仿宋_GB2312"/>
                <w:sz w:val="21"/>
              </w:rPr>
              <w:t>、沙发、桌椅、床上用品四件套（</w:t>
            </w:r>
            <w:r>
              <w:rPr>
                <w:rFonts w:ascii="仿宋_GB2312" w:hAnsi="仿宋_GB2312" w:cs="仿宋_GB2312" w:eastAsia="仿宋_GB2312"/>
                <w:sz w:val="21"/>
              </w:rPr>
              <w:t>2套）、浴巾、浴袍、毛巾、衣架、烧水壶、灭火器。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合同签订后供货期30日历天，质保期一年。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采购人收到货后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货物质量符合行业现行相关规定的合格标准。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“★”号项和“▲”号项必须提供佐证材料，包括但不限于产品彩页、检测报告、合格证。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 提供营业执照复印件或电子件（事业单位须事业单位法人证、组织机构代码证等证明文件；其他组织应提供合法证明文件）。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供应商需提供法定代表人授权书（附法定代表人身份证复印件）及被授权人身份证复印件（法定代表人直接参加投标只须提供法定代表人身份证复印件）。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 号）文件要求，提供资格承诺函。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提供非联合体声明磋商承诺。</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供应商响应文件按照规定的格式和内容填写，内容清晰，签字盖章符合要求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技术方案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磋商有效期及工期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技术方案 标的清单 供应商应提交的相关资格证明材料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1、评审内容：①项目的实施背景理解；②工作项目理解分析；③工作项目重点、难点工作、关键步骤、环节的合理建议。2、评审标准：①完整性：内容全面，对评审内容中的各项要求有详细描述；②可实施性：切合本项目实际情况，方案步骤清晰、合理；③针对性：紧扣项目实际情况需求，内容切实合理。3、赋分标准：①项目的实施背景理解：每完全满足一个评审标准得1分，满分3分；②工作项目理解分析：每完全满足一个评审标准得1分，满分3分；③工作项目重点、难点工作、关键步骤、环节的合理建议：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评审内容：①总体框架及计划；②技术思路及方法；③关键点、重难点分析及衔接；④成果交付；⑤服务理念及特色。2、评审标准：①完整性：内容全面，对评审内容中的各项要求有详细描述；②可实施性：切合本项目实际情况，方案步骤清晰、合理；③针对性：紧扣项目实际情况需求，内容切实合理。3、赋分标准：①总体框架及计划：每完全满足一个评审标准得1分，满分3分；②技术思路及方法：每完全满足一个评审标准得1分，满分3分；③关键点、重难点分析：每完全满足一个评审标准得1分，满分3分；④成果交付：每完全满足一个评审标准得1分，满分3分；⑤服务理念及特色：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评审内容：①具有针对本项目质量管理制度；②质量保障措施；③内部管控流程合理。2、评审标准：①完整性：内容全面，对评审内容中的各项要求有详细描述；②可实施性：切合本项目实际情况，方案步骤清晰、合理；③针对性：紧扣项目实际情况需求，内容切实合理。3、赋分标准：①具有针对本项目质量管理制度：每完全满足一个评审标准得1分，满分3分；②质量保障措施：每完全满足一个评审标准得1分，满分3分；③内部管控流程：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进度方案</w:t>
            </w:r>
          </w:p>
        </w:tc>
        <w:tc>
          <w:tcPr>
            <w:tcW w:type="dxa" w:w="2492"/>
          </w:tcPr>
          <w:p>
            <w:pPr>
              <w:pStyle w:val="null3"/>
            </w:pPr>
            <w:r>
              <w:rPr>
                <w:rFonts w:ascii="仿宋_GB2312" w:hAnsi="仿宋_GB2312" w:cs="仿宋_GB2312" w:eastAsia="仿宋_GB2312"/>
              </w:rPr>
              <w:t>1、评审内容：①进度的保障措施；②突发状况应急预案。2、评审标准：①完整性：内容全面，对评审内容中的各项要求有详细描述；②可实施性：切合本项目实际情况，方案步骤清晰、合理；③针对性：紧扣项目实际情况需求，内容切实合理。3、赋分标准：①进度的保障措施：每完全满足一个评审标准得1分，满分3分；②突发状况应急预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备品配件</w:t>
            </w:r>
          </w:p>
        </w:tc>
        <w:tc>
          <w:tcPr>
            <w:tcW w:type="dxa" w:w="2492"/>
          </w:tcPr>
          <w:p>
            <w:pPr>
              <w:pStyle w:val="null3"/>
            </w:pPr>
            <w:r>
              <w:rPr>
                <w:rFonts w:ascii="仿宋_GB2312" w:hAnsi="仿宋_GB2312" w:cs="仿宋_GB2312" w:eastAsia="仿宋_GB2312"/>
              </w:rPr>
              <w:t>针对目前设备现状，备品、配件供应有保障，有充足的库存，且货源渠道正规，承诺主要设备的配件、耗材选用原厂品牌，并提供承诺书的得3分，未提供的不得分。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据所投产品技术响应满足采购文件“采购需求”技术参数的要求情况进行评分，带“▲”项参数每有一项不满足或者负偏离的扣2分，直至本项分数扣完为止。注：“★”号项和“▲”号项必须提供佐证材料，包括但不限于产品彩页、检测报告、合格证。</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①对后续协调及服务工作的承诺；②对响应时间的承诺。2、评审标准：①完整性：内容全面，对评审内容中的各项要求有详细描述；②可实施性：切合本项目实际情况，方案步骤清晰、合理；③针对性：紧扣项目实际情况需求，内容切实合理。3、赋分标准：①对后续协调及服务工作的承诺：每完全满足一个评审标准得1分，满分3分；②对响应时间的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保密廉洁和档案管理措施</w:t>
            </w:r>
          </w:p>
        </w:tc>
        <w:tc>
          <w:tcPr>
            <w:tcW w:type="dxa" w:w="2492"/>
          </w:tcPr>
          <w:p>
            <w:pPr>
              <w:pStyle w:val="null3"/>
            </w:pPr>
            <w:r>
              <w:rPr>
                <w:rFonts w:ascii="仿宋_GB2312" w:hAnsi="仿宋_GB2312" w:cs="仿宋_GB2312" w:eastAsia="仿宋_GB2312"/>
              </w:rPr>
              <w:t>1、评审内容：①保密制度及措施；②廉洁制度及措施。2、评审标准：①完整性：内容全面，对评审内容中的各项要求有详细描述；②可实施性：切合本项目实际情况，方案步骤清晰、合理；③针对性：紧扣项目实际情况需求，内容切实合理。3、赋分标准：①保密制度及措施：每完全满足一个评审标准得1分，满分3分；②廉洁制度及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2023年1月至今完成的类似项目业绩：每有一个类似项目业绩得2分,最高4分。注：业绩证明材料以中标通知书或合同为准，响应文件中附中标通知书或合同复印件并加盖企业公章。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1、上限为采购预算价，即报价大于上限价视为无效标；2、以满足本次竞争性磋商文件要求的最低报价为评审基准价，其价格为满分；3、磋商供应商报价得分=（评审基准价/报价）×30。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详见附件：合同模板（本模版仅供参考）.docx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