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版本号：SXAT-202603120260326002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留坝厅故城遗址东西城墙保护修缮工程设计采购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SXAT-2026031</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留坝厅故城遗址东西城墙保护修缮工程设计采购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SXAT-2026031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留坝厅故城遗址东西城墙保护修缮工程设计采购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留坝厅故城遗址东西城墙保护修缮工程设计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提供《汉中市政府采购供应商资格承诺函》;</w:t>
      </w:r>
    </w:p>
    <w:p>
      <w:pPr>
        <w:pStyle w:val="null3"/>
      </w:pPr>
      <w:r>
        <w:rPr>
          <w:rFonts w:ascii="仿宋_GB2312" w:hAnsi="仿宋_GB2312" w:cs="仿宋_GB2312" w:eastAsia="仿宋_GB2312"/>
        </w:rPr>
        <w:t>4、供应商须具有文物行政主管部门核发的文物保护工程勘察设计乙级或以上资质；：供应商须具有文物行政主管部门核发的文物保护工程勘察设计乙级或以上资质。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留坝县安山路3号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联系人：胡女士</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留坝厅故城遗址东西城墙保护修缮工程设计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610000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标的名称：610000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b/>
              </w:rPr>
              <w:t>设计目标：</w:t>
            </w:r>
            <w:r>
              <w:rPr>
                <w:rFonts w:ascii="仿宋_GB2312" w:hAnsi="仿宋_GB2312" w:cs="仿宋_GB2312" w:eastAsia="仿宋_GB2312"/>
                <w:sz w:val="24"/>
              </w:rPr>
              <w:t>针对</w:t>
            </w:r>
            <w:r>
              <w:rPr>
                <w:rFonts w:ascii="仿宋_GB2312" w:hAnsi="仿宋_GB2312" w:cs="仿宋_GB2312" w:eastAsia="仿宋_GB2312"/>
                <w:sz w:val="24"/>
              </w:rPr>
              <w:t>留坝厅故城遗址东西城墙</w:t>
            </w:r>
            <w:r>
              <w:rPr>
                <w:rFonts w:ascii="仿宋_GB2312" w:hAnsi="仿宋_GB2312" w:cs="仿宋_GB2312" w:eastAsia="仿宋_GB2312"/>
                <w:sz w:val="24"/>
              </w:rPr>
              <w:t>现状，采取不同的保护方法和技术，即在</w:t>
            </w:r>
            <w:r>
              <w:rPr>
                <w:rFonts w:ascii="仿宋_GB2312" w:hAnsi="仿宋_GB2312" w:cs="仿宋_GB2312" w:eastAsia="仿宋_GB2312"/>
                <w:sz w:val="24"/>
              </w:rPr>
              <w:t>坚持</w:t>
            </w:r>
            <w:r>
              <w:rPr>
                <w:rFonts w:ascii="仿宋_GB2312" w:hAnsi="仿宋_GB2312" w:cs="仿宋_GB2312" w:eastAsia="仿宋_GB2312"/>
                <w:sz w:val="24"/>
              </w:rPr>
              <w:t>文物保护原则的前提下，对文物本体采取有效的手段进行保护与加固，并对环境存在的问题进行全面整治。</w:t>
            </w:r>
            <w:r>
              <w:rPr>
                <w:rFonts w:ascii="仿宋_GB2312" w:hAnsi="仿宋_GB2312" w:cs="仿宋_GB2312" w:eastAsia="仿宋_GB2312"/>
                <w:sz w:val="24"/>
              </w:rPr>
              <w:t>在不损伤残存城墙的前提下，重点做好城墙本体加固保护，对稳定性较好，具有观赏性的段落，现状加固后进行原状展示。</w:t>
            </w:r>
          </w:p>
          <w:p>
            <w:pPr>
              <w:pStyle w:val="null3"/>
              <w:ind w:firstLine="480"/>
              <w:jc w:val="both"/>
            </w:pPr>
            <w:r>
              <w:rPr>
                <w:rFonts w:ascii="仿宋_GB2312" w:hAnsi="仿宋_GB2312" w:cs="仿宋_GB2312" w:eastAsia="仿宋_GB2312"/>
                <w:sz w:val="24"/>
              </w:rPr>
              <w:t>工程完工后，所有加固、支撑的技术措施设法与原有遗存协调一致，同时使修复后的遗址具有一定展示性。</w:t>
            </w:r>
          </w:p>
          <w:p>
            <w:pPr>
              <w:pStyle w:val="null3"/>
              <w:ind w:firstLine="480"/>
              <w:jc w:val="both"/>
            </w:pPr>
            <w:r>
              <w:rPr>
                <w:rFonts w:ascii="仿宋_GB2312" w:hAnsi="仿宋_GB2312" w:cs="仿宋_GB2312" w:eastAsia="仿宋_GB2312"/>
                <w:sz w:val="24"/>
                <w:b/>
              </w:rPr>
              <w:t>项目内容：</w:t>
            </w:r>
            <w:r>
              <w:rPr>
                <w:rFonts w:ascii="仿宋_GB2312" w:hAnsi="仿宋_GB2312" w:cs="仿宋_GB2312" w:eastAsia="仿宋_GB2312"/>
                <w:sz w:val="24"/>
              </w:rPr>
              <w:t>本工程设计方案的主要范围和规模为：留坝厅故城遗址东城墙182米，西城墙149.67米，总计长约331.67米。除文物本体设计方案外，还包含：岩土勘察报告、地形图测绘及边坡加固三项内容。</w:t>
            </w:r>
          </w:p>
          <w:p>
            <w:pPr>
              <w:pStyle w:val="null3"/>
              <w:ind w:firstLine="480"/>
              <w:jc w:val="both"/>
            </w:pPr>
            <w:r>
              <w:rPr>
                <w:rFonts w:ascii="仿宋_GB2312" w:hAnsi="仿宋_GB2312" w:cs="仿宋_GB2312" w:eastAsia="仿宋_GB2312"/>
                <w:sz w:val="24"/>
              </w:rPr>
              <w:t>项目要求：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真实性原则</w:t>
            </w:r>
            <w:r>
              <w:rPr>
                <w:rFonts w:ascii="仿宋_GB2312" w:hAnsi="仿宋_GB2312" w:cs="仿宋_GB2312" w:eastAsia="仿宋_GB2312"/>
                <w:sz w:val="24"/>
              </w:rPr>
              <w:t>——</w:t>
            </w:r>
            <w:r>
              <w:rPr>
                <w:rFonts w:ascii="仿宋_GB2312" w:hAnsi="仿宋_GB2312" w:cs="仿宋_GB2312" w:eastAsia="仿宋_GB2312"/>
                <w:sz w:val="24"/>
              </w:rPr>
              <w:t>文物</w:t>
            </w:r>
            <w:r>
              <w:rPr>
                <w:rFonts w:ascii="仿宋_GB2312" w:hAnsi="仿宋_GB2312" w:cs="仿宋_GB2312" w:eastAsia="仿宋_GB2312"/>
                <w:sz w:val="24"/>
              </w:rPr>
              <w:t>本体</w:t>
            </w:r>
            <w:r>
              <w:rPr>
                <w:rFonts w:ascii="仿宋_GB2312" w:hAnsi="仿宋_GB2312" w:cs="仿宋_GB2312" w:eastAsia="仿宋_GB2312"/>
                <w:sz w:val="24"/>
              </w:rPr>
              <w:t>的现存部分作为历史信息的真实载体，必须保证其遗存本体不被破坏，篡改或移动。任何保护措施均应严格遵守</w:t>
            </w:r>
            <w:r>
              <w:rPr>
                <w:rFonts w:ascii="仿宋_GB2312" w:hAnsi="仿宋_GB2312" w:cs="仿宋_GB2312" w:eastAsia="仿宋_GB2312"/>
                <w:sz w:val="24"/>
              </w:rPr>
              <w:t>“</w:t>
            </w:r>
            <w:r>
              <w:rPr>
                <w:rFonts w:ascii="仿宋_GB2312" w:hAnsi="仿宋_GB2312" w:cs="仿宋_GB2312" w:eastAsia="仿宋_GB2312"/>
                <w:sz w:val="24"/>
              </w:rPr>
              <w:t>不改变文物原状</w:t>
            </w:r>
            <w:r>
              <w:rPr>
                <w:rFonts w:ascii="仿宋_GB2312" w:hAnsi="仿宋_GB2312" w:cs="仿宋_GB2312" w:eastAsia="仿宋_GB2312"/>
                <w:sz w:val="24"/>
              </w:rPr>
              <w:t>”</w:t>
            </w:r>
            <w:r>
              <w:rPr>
                <w:rFonts w:ascii="仿宋_GB2312" w:hAnsi="仿宋_GB2312" w:cs="仿宋_GB2312" w:eastAsia="仿宋_GB2312"/>
                <w:sz w:val="24"/>
              </w:rPr>
              <w:t>的原则，保持遗</w:t>
            </w:r>
            <w:r>
              <w:rPr>
                <w:rFonts w:ascii="仿宋_GB2312" w:hAnsi="仿宋_GB2312" w:cs="仿宋_GB2312" w:eastAsia="仿宋_GB2312"/>
                <w:sz w:val="24"/>
              </w:rPr>
              <w:t>存本体</w:t>
            </w:r>
            <w:r>
              <w:rPr>
                <w:rFonts w:ascii="仿宋_GB2312" w:hAnsi="仿宋_GB2312" w:cs="仿宋_GB2312" w:eastAsia="仿宋_GB2312"/>
                <w:sz w:val="24"/>
              </w:rPr>
              <w:t>的真实性；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完整性原则</w:t>
            </w:r>
            <w:r>
              <w:rPr>
                <w:rFonts w:ascii="仿宋_GB2312" w:hAnsi="仿宋_GB2312" w:cs="仿宋_GB2312" w:eastAsia="仿宋_GB2312"/>
                <w:sz w:val="24"/>
              </w:rPr>
              <w:t>——</w:t>
            </w:r>
            <w:r>
              <w:rPr>
                <w:rFonts w:ascii="仿宋_GB2312" w:hAnsi="仿宋_GB2312" w:cs="仿宋_GB2312" w:eastAsia="仿宋_GB2312"/>
                <w:sz w:val="24"/>
              </w:rPr>
              <w:t>保护</w:t>
            </w:r>
            <w:r>
              <w:rPr>
                <w:rFonts w:ascii="仿宋_GB2312" w:hAnsi="仿宋_GB2312" w:cs="仿宋_GB2312" w:eastAsia="仿宋_GB2312"/>
                <w:sz w:val="24"/>
              </w:rPr>
              <w:t>遗存本体</w:t>
            </w:r>
            <w:r>
              <w:rPr>
                <w:rFonts w:ascii="仿宋_GB2312" w:hAnsi="仿宋_GB2312" w:cs="仿宋_GB2312" w:eastAsia="仿宋_GB2312"/>
                <w:sz w:val="24"/>
              </w:rPr>
              <w:t>的完整性，不仅要完整保护遗</w:t>
            </w:r>
            <w:r>
              <w:rPr>
                <w:rFonts w:ascii="仿宋_GB2312" w:hAnsi="仿宋_GB2312" w:cs="仿宋_GB2312" w:eastAsia="仿宋_GB2312"/>
                <w:sz w:val="24"/>
              </w:rPr>
              <w:t>存</w:t>
            </w:r>
            <w:r>
              <w:rPr>
                <w:rFonts w:ascii="仿宋_GB2312" w:hAnsi="仿宋_GB2312" w:cs="仿宋_GB2312" w:eastAsia="仿宋_GB2312"/>
                <w:sz w:val="24"/>
              </w:rPr>
              <w:t>本体，还要保护遗</w:t>
            </w:r>
            <w:r>
              <w:rPr>
                <w:rFonts w:ascii="仿宋_GB2312" w:hAnsi="仿宋_GB2312" w:cs="仿宋_GB2312" w:eastAsia="仿宋_GB2312"/>
                <w:sz w:val="24"/>
              </w:rPr>
              <w:t>存</w:t>
            </w:r>
            <w:r>
              <w:rPr>
                <w:rFonts w:ascii="仿宋_GB2312" w:hAnsi="仿宋_GB2312" w:cs="仿宋_GB2312" w:eastAsia="仿宋_GB2312"/>
                <w:sz w:val="24"/>
              </w:rPr>
              <w:t>本体及其周边的全部内容，包括遗</w:t>
            </w:r>
            <w:r>
              <w:rPr>
                <w:rFonts w:ascii="仿宋_GB2312" w:hAnsi="仿宋_GB2312" w:cs="仿宋_GB2312" w:eastAsia="仿宋_GB2312"/>
                <w:sz w:val="24"/>
              </w:rPr>
              <w:t>存</w:t>
            </w:r>
            <w:r>
              <w:rPr>
                <w:rFonts w:ascii="仿宋_GB2312" w:hAnsi="仿宋_GB2312" w:cs="仿宋_GB2312" w:eastAsia="仿宋_GB2312"/>
                <w:sz w:val="24"/>
              </w:rPr>
              <w:t>区环境及遗</w:t>
            </w:r>
            <w:r>
              <w:rPr>
                <w:rFonts w:ascii="仿宋_GB2312" w:hAnsi="仿宋_GB2312" w:cs="仿宋_GB2312" w:eastAsia="仿宋_GB2312"/>
                <w:sz w:val="24"/>
              </w:rPr>
              <w:t>存</w:t>
            </w:r>
            <w:r>
              <w:rPr>
                <w:rFonts w:ascii="仿宋_GB2312" w:hAnsi="仿宋_GB2312" w:cs="仿宋_GB2312" w:eastAsia="仿宋_GB2312"/>
                <w:sz w:val="24"/>
              </w:rPr>
              <w:t>区域内各时期历史信息的完整性；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）文物本体安全为主的原则</w:t>
            </w:r>
            <w:r>
              <w:rPr>
                <w:rFonts w:ascii="仿宋_GB2312" w:hAnsi="仿宋_GB2312" w:cs="仿宋_GB2312" w:eastAsia="仿宋_GB2312"/>
                <w:sz w:val="24"/>
              </w:rPr>
              <w:t>——</w:t>
            </w:r>
            <w:r>
              <w:rPr>
                <w:rFonts w:ascii="仿宋_GB2312" w:hAnsi="仿宋_GB2312" w:cs="仿宋_GB2312" w:eastAsia="仿宋_GB2312"/>
                <w:sz w:val="24"/>
              </w:rPr>
              <w:t>根据</w:t>
            </w:r>
            <w:r>
              <w:rPr>
                <w:rFonts w:ascii="仿宋_GB2312" w:hAnsi="仿宋_GB2312" w:cs="仿宋_GB2312" w:eastAsia="仿宋_GB2312"/>
                <w:sz w:val="24"/>
              </w:rPr>
              <w:t>留坝厅故城遗址东西城墙</w:t>
            </w:r>
            <w:r>
              <w:rPr>
                <w:rFonts w:ascii="仿宋_GB2312" w:hAnsi="仿宋_GB2312" w:cs="仿宋_GB2312" w:eastAsia="仿宋_GB2312"/>
                <w:sz w:val="24"/>
              </w:rPr>
              <w:t>的保存现状，设计中确保其文物本体安全为主的优先原则；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）可再处理性</w:t>
            </w:r>
            <w:r>
              <w:rPr>
                <w:rFonts w:ascii="仿宋_GB2312" w:hAnsi="仿宋_GB2312" w:cs="仿宋_GB2312" w:eastAsia="仿宋_GB2312"/>
                <w:sz w:val="24"/>
              </w:rPr>
              <w:t>原则</w:t>
            </w:r>
            <w:r>
              <w:rPr>
                <w:rFonts w:ascii="仿宋_GB2312" w:hAnsi="仿宋_GB2312" w:cs="仿宋_GB2312" w:eastAsia="仿宋_GB2312"/>
                <w:sz w:val="24"/>
              </w:rPr>
              <w:t>——</w:t>
            </w:r>
            <w:r>
              <w:rPr>
                <w:rFonts w:ascii="仿宋_GB2312" w:hAnsi="仿宋_GB2312" w:cs="仿宋_GB2312" w:eastAsia="仿宋_GB2312"/>
                <w:sz w:val="24"/>
              </w:rPr>
              <w:t>各类保护措施均应优先考虑采用可</w:t>
            </w:r>
            <w:r>
              <w:rPr>
                <w:rFonts w:ascii="仿宋_GB2312" w:hAnsi="仿宋_GB2312" w:cs="仿宋_GB2312" w:eastAsia="仿宋_GB2312"/>
                <w:sz w:val="24"/>
              </w:rPr>
              <w:t>逆</w:t>
            </w:r>
            <w:r>
              <w:rPr>
                <w:rFonts w:ascii="仿宋_GB2312" w:hAnsi="仿宋_GB2312" w:cs="仿宋_GB2312" w:eastAsia="仿宋_GB2312"/>
                <w:sz w:val="24"/>
              </w:rPr>
              <w:t>的工程措施，</w:t>
            </w:r>
            <w:r>
              <w:rPr>
                <w:rFonts w:ascii="仿宋_GB2312" w:hAnsi="仿宋_GB2312" w:cs="仿宋_GB2312" w:eastAsia="仿宋_GB2312"/>
                <w:sz w:val="24"/>
              </w:rPr>
              <w:t>即一切技术措施均应不妨碍再次对遗存本体进行保护处理，并可在不需要的时候，在不伤害遗址的前提下去除，把对遗址及其环境的不当干预减少到最低。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可识别性原则</w:t>
            </w:r>
            <w:r>
              <w:rPr>
                <w:rFonts w:ascii="仿宋_GB2312" w:hAnsi="仿宋_GB2312" w:cs="仿宋_GB2312" w:eastAsia="仿宋_GB2312"/>
                <w:sz w:val="24"/>
              </w:rPr>
              <w:t>——</w:t>
            </w:r>
            <w:r>
              <w:rPr>
                <w:rFonts w:ascii="仿宋_GB2312" w:hAnsi="仿宋_GB2312" w:cs="仿宋_GB2312" w:eastAsia="仿宋_GB2312"/>
                <w:sz w:val="24"/>
              </w:rPr>
              <w:t>任何保护措施必须保持原有的历史信息的可辨认性，保证其与文物的原存部分有所区别。</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动态性原则</w:t>
            </w:r>
            <w:r>
              <w:rPr>
                <w:rFonts w:ascii="仿宋_GB2312" w:hAnsi="仿宋_GB2312" w:cs="仿宋_GB2312" w:eastAsia="仿宋_GB2312"/>
                <w:sz w:val="24"/>
              </w:rPr>
              <w:t>——</w:t>
            </w:r>
            <w:r>
              <w:rPr>
                <w:rFonts w:ascii="仿宋_GB2312" w:hAnsi="仿宋_GB2312" w:cs="仿宋_GB2312" w:eastAsia="仿宋_GB2312"/>
                <w:sz w:val="24"/>
              </w:rPr>
              <w:t>考虑考古工作的阶段性，工程设计应留有充分的余地，以便根据考古及研究工作取得的成果进展进行方案设计调整。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）坚持“保护第一、加强管理、挖掘价值、有效利用、让文物活起来”的新时代文物工作要求。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切实保护</w:t>
            </w:r>
            <w:r>
              <w:rPr>
                <w:rFonts w:ascii="仿宋_GB2312" w:hAnsi="仿宋_GB2312" w:cs="仿宋_GB2312" w:eastAsia="仿宋_GB2312"/>
                <w:sz w:val="24"/>
              </w:rPr>
              <w:t>留坝厅故城遗址东西城墙</w:t>
            </w:r>
            <w:r>
              <w:rPr>
                <w:rFonts w:ascii="仿宋_GB2312" w:hAnsi="仿宋_GB2312" w:cs="仿宋_GB2312" w:eastAsia="仿宋_GB2312"/>
                <w:sz w:val="24"/>
              </w:rPr>
              <w:t>及其环境的真实性和完整性，最大限度的保护遗存原状和历史信息，以现状加固维修为主，尽量减少对遗</w:t>
            </w:r>
            <w:r>
              <w:rPr>
                <w:rFonts w:ascii="仿宋_GB2312" w:hAnsi="仿宋_GB2312" w:cs="仿宋_GB2312" w:eastAsia="仿宋_GB2312"/>
                <w:sz w:val="24"/>
              </w:rPr>
              <w:t>存</w:t>
            </w:r>
            <w:r>
              <w:rPr>
                <w:rFonts w:ascii="仿宋_GB2312" w:hAnsi="仿宋_GB2312" w:cs="仿宋_GB2312" w:eastAsia="仿宋_GB2312"/>
                <w:sz w:val="24"/>
              </w:rPr>
              <w:t>本体的干预。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积极探索创新文物保护及展示、方法和手段，使得保护和展示利用得到协调发展。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成果交付期限：45天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供应商须具有文物行政主管部门核发的文物保护工程勘察设计乙级或以上资质；</w:t>
            </w:r>
          </w:p>
        </w:tc>
        <w:tc>
          <w:tcPr>
            <w:tcW w:type="dxa" w:w="3322"/>
          </w:tcPr>
          <w:p>
            <w:pPr>
              <w:pStyle w:val="null3"/>
            </w:pPr>
            <w:r>
              <w:rPr>
                <w:rFonts w:ascii="仿宋_GB2312" w:hAnsi="仿宋_GB2312" w:cs="仿宋_GB2312" w:eastAsia="仿宋_GB2312"/>
              </w:rPr>
              <w:t>供应商须具有文物行政主管部门核发的文物保护工程勘察设计乙级或以上资质。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残疾人福利性单位声明函 商务应答表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对本项目理解及分析（10分） 内容完整、描述详尽、可实施、且有针对性得10分；内容完整、可实施得7分；方案基本完整得3分；未提供不得分。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1.总体设计方案（5分） 内容完整、可实施、且有针对性得5分；内容完整、描述详尽、可实施得3分；方案基本完整得1分；未提供不得分。 2.对本项目设计方案技术可行性分析（5分） 内容完整、描述详尽、可实施、且有针对性得5分；内容完整、可实施得3分；方案基本完整得1分；未提供不得分。 3.对本项目设计工作内容概述（5分）。 内容完整、描述详尽、可实施、且有针对性得5分；内容完整、可实施得3分；方案基本完整得1分；未提供不得分。 4.现场勘察方案（5分） 内容完整、可实施、且有针对性得5分；内容完整、描述详尽、可实施得3分；方案基本完整得1分；未提供不得分。 5.技术规范规定符合性（5分） 内容完整、可实施、且有针对性得5分；内容完整、描述详尽、可实施得3分；方案基本完整得1分；未提供不得分。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重、难点分析及关键过程分析</w:t>
            </w:r>
          </w:p>
        </w:tc>
        <w:tc>
          <w:tcPr>
            <w:tcW w:type="dxa" w:w="2492"/>
          </w:tcPr>
          <w:p>
            <w:pPr>
              <w:pStyle w:val="null3"/>
            </w:pPr>
            <w:r>
              <w:rPr>
                <w:rFonts w:ascii="仿宋_GB2312" w:hAnsi="仿宋_GB2312" w:cs="仿宋_GB2312" w:eastAsia="仿宋_GB2312"/>
              </w:rPr>
              <w:t>1.项目实施重点、难点及对策措施（5分） 内容完整、可实施、且有针对性得5分；内容完整、可实施得3分；方案基本完整得1分；未提供不得分。 2.关键过程分析（5分） 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重、难点分析及关键过程分析.docx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1.项目工作进度计划安排（5分） 内容完整、条理清晰、且有针对性得5分；内容完整、可实施得3分；内容基本完整1分；未提供不得分。 2.项目进度保证措施（5分） 内容完整、条理清晰、且有针对性得5分；内容完整、可实施得3分；内容基本完整1分；未提供不得分。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1.项目质量目标（6分） 内容完整、条理清晰、且有针对性得6分；内容完整、可实施得4分；内容基本完整2分；未提供不得分。 2.设计阶段控制措施（6分） 内容完整、条理清晰、且有针对性得6分；内容完整、可实施得4分；内容基本完整2分；未提供不得分。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针对本项目后期服务配合、过程资料管理有具体的服务承诺（7分） 内容完整、条理清晰、可实施得7分；内容完整、可实施得4分；内容基本完整1分；未提供不得分。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针对本项目的合理化建议（5分） 内容完整、条理清晰、可实施得5分；内容完整、可实施得3分；内容基本完整1分；未提供不得分。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本项目的项目负责人、其他人员组织架构情况（5分） 人员专业性强、经验丰富、满足本项目需求得5分；专业性强、满足本项目需求得3分；满足本项目需求得1分；未提供不得分。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供应商提供2023年1月1日至磋商截止日止类似项目业绩，每提供一个得3分，最高得6分；业绩资料提供复印件加盖公章（资料以合同或中标通知书为准）。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类似项目业绩一览表.docx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满足采购文件要求且报价最低的响应报价为评审基准价，其价格分为满分。其他供应商的价格分统一按照下列公式计算：报价得分=（评标基准价/响应报价）×价格分值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详见附件：重、难点分析及关键过程分析.docx</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