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版本号：SXBMSTHZ-2026-00120260415002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动态调整完善国土空间规划服务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SXBMSTHZ-2026-001</w:t>
      </w:r>
      <w:r>
        <w:br/>
      </w:r>
      <w:r>
        <w:br/>
      </w:r>
      <w:r>
        <w:br/>
      </w:r>
    </w:p>
    <w:p>
      <w:pPr>
        <w:pStyle w:val="null3"/>
        <w:jc w:val="center"/>
        <w:outlineLvl w:val="2"/>
      </w:pPr>
      <w:r>
        <w:rPr>
          <w:rFonts w:ascii="仿宋_GB2312" w:hAnsi="仿宋_GB2312" w:cs="仿宋_GB2312" w:eastAsia="仿宋_GB2312"/>
          <w:sz w:val="28"/>
          <w:b/>
        </w:rPr>
        <w:t>留坝县自然资源局</w:t>
      </w:r>
    </w:p>
    <w:p>
      <w:pPr>
        <w:pStyle w:val="null3"/>
        <w:jc w:val="center"/>
        <w:outlineLvl w:val="2"/>
      </w:pPr>
      <w:r>
        <w:rPr>
          <w:rFonts w:ascii="仿宋_GB2312" w:hAnsi="仿宋_GB2312" w:cs="仿宋_GB2312" w:eastAsia="仿宋_GB2312"/>
          <w:sz w:val="28"/>
          <w:b/>
        </w:rPr>
        <w:t>陕西百美圣泰项目管理有限公司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陕西百美圣泰项目管理有限公司</w:t>
      </w:r>
      <w:r>
        <w:rPr>
          <w:rFonts w:ascii="仿宋_GB2312" w:hAnsi="仿宋_GB2312" w:cs="仿宋_GB2312" w:eastAsia="仿宋_GB2312"/>
        </w:rPr>
        <w:t>（以下简称“代理机构”）受</w:t>
      </w:r>
      <w:r>
        <w:rPr>
          <w:rFonts w:ascii="仿宋_GB2312" w:hAnsi="仿宋_GB2312" w:cs="仿宋_GB2312" w:eastAsia="仿宋_GB2312"/>
        </w:rPr>
        <w:t>留坝县自然资源局</w:t>
      </w:r>
      <w:r>
        <w:rPr>
          <w:rFonts w:ascii="仿宋_GB2312" w:hAnsi="仿宋_GB2312" w:cs="仿宋_GB2312" w:eastAsia="仿宋_GB2312"/>
        </w:rPr>
        <w:t>委托，拟对</w:t>
      </w:r>
      <w:r>
        <w:rPr>
          <w:rFonts w:ascii="仿宋_GB2312" w:hAnsi="仿宋_GB2312" w:cs="仿宋_GB2312" w:eastAsia="仿宋_GB2312"/>
        </w:rPr>
        <w:t>动态调整完善国土空间规划服务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SXBMSTHZ-2026-001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动态调整完善国土空间规划服务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托国土空间规划“一张图”开展县级国土空间总体规划动态调整完善工作，整合规划编制、审批、实施、监督、评估、修改全链条数据资源，将“十五五”重点项目统筹纳入国土空间规划“一张图”；按照技术规范，完成留坝县国土空间规划2024年体检评估、动态维护、规划修改，并提交相关方案及数据成果；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采购包1（留坝县国土空间总体规划修改）：属于专门面向中小企业采购。</w:t>
      </w:r>
    </w:p>
    <w:p>
      <w:pPr>
        <w:pStyle w:val="null3"/>
      </w:pPr>
      <w:r>
        <w:rPr>
          <w:rFonts w:ascii="仿宋_GB2312" w:hAnsi="仿宋_GB2312" w:cs="仿宋_GB2312" w:eastAsia="仿宋_GB2312"/>
        </w:rPr>
        <w:t>采购包2（十五五重点项目基础测绘）：属于专门面向中小企业采购。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3、供应商资质要求：供应商具有行政主管部门颁发的且在有效期内的城乡规划编制乙级及以上资质或城乡规划（国土空间规划）编制乙级及以上资质；</w:t>
      </w:r>
    </w:p>
    <w:p>
      <w:pPr>
        <w:pStyle w:val="null3"/>
      </w:pPr>
      <w:r>
        <w:rPr>
          <w:rFonts w:ascii="仿宋_GB2312" w:hAnsi="仿宋_GB2312" w:cs="仿宋_GB2312" w:eastAsia="仿宋_GB2312"/>
        </w:rPr>
        <w:t>4、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5、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6、控股关系：单位负责人为同一人或者存在直接控股、管理关系的不同供应商，不得参加同一合同项下的磋商活动</w:t>
      </w:r>
    </w:p>
    <w:p>
      <w:pPr>
        <w:pStyle w:val="null3"/>
      </w:pPr>
      <w:r>
        <w:rPr>
          <w:rFonts w:ascii="仿宋_GB2312" w:hAnsi="仿宋_GB2312" w:cs="仿宋_GB2312" w:eastAsia="仿宋_GB2312"/>
        </w:rPr>
        <w:t>7、其他要求：本项目不接受联合体投标，供应商需提供非联合体书面声明。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3、供应商资质要求：供应商应具备国家测绘主管部门核发的测绘乙级（含乙级）以上资质;</w:t>
      </w:r>
    </w:p>
    <w:p>
      <w:pPr>
        <w:pStyle w:val="null3"/>
      </w:pPr>
      <w:r>
        <w:rPr>
          <w:rFonts w:ascii="仿宋_GB2312" w:hAnsi="仿宋_GB2312" w:cs="仿宋_GB2312" w:eastAsia="仿宋_GB2312"/>
        </w:rPr>
        <w:t>4、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5、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6、控股关系：单位负责人为同一人或者存在直接控股、管理关系的不同供应商，不得参加同一合同项下的磋商活动</w:t>
      </w:r>
    </w:p>
    <w:p>
      <w:pPr>
        <w:pStyle w:val="null3"/>
      </w:pPr>
      <w:r>
        <w:rPr>
          <w:rFonts w:ascii="仿宋_GB2312" w:hAnsi="仿宋_GB2312" w:cs="仿宋_GB2312" w:eastAsia="仿宋_GB2312"/>
        </w:rPr>
        <w:t>7、其他要求：本项目不接受联合体投标，供应商需提供非联合体书面声明。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留坝县南环路50号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留坝县自然资源局经办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0916-3921198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陕西百美圣泰项目管理有限公司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陕西省汉中市汉台区陕西省汉中市汉台区汉中路街道办事处南关社区竹园华府天玺中心办公楼1613号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0916-8887587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开户名称：陕西百美圣泰项目管理有限公司</w:t>
            </w:r>
          </w:p>
          <w:p>
            <w:pPr>
              <w:pStyle w:val="null3"/>
            </w:pPr>
            <w:r>
              <w:rPr>
                <w:rFonts w:ascii="仿宋_GB2312" w:hAnsi="仿宋_GB2312" w:cs="仿宋_GB2312" w:eastAsia="仿宋_GB2312"/>
              </w:rPr>
              <w:t>开户银行：中国工商银行股份有限公司汉中汉江路支行</w:t>
            </w:r>
          </w:p>
          <w:p>
            <w:pPr>
              <w:pStyle w:val="null3"/>
            </w:pPr>
            <w:r>
              <w:rPr>
                <w:rFonts w:ascii="仿宋_GB2312" w:hAnsi="仿宋_GB2312" w:cs="仿宋_GB2312" w:eastAsia="仿宋_GB2312"/>
              </w:rPr>
              <w:t>银行账号：2606 0221 0920 0057 213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收取。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留坝县自然资源局</w:t>
      </w:r>
      <w:r>
        <w:rPr>
          <w:rFonts w:ascii="仿宋_GB2312" w:hAnsi="仿宋_GB2312" w:cs="仿宋_GB2312" w:eastAsia="仿宋_GB2312"/>
        </w:rPr>
        <w:t>和</w:t>
      </w:r>
      <w:r>
        <w:rPr>
          <w:rFonts w:ascii="仿宋_GB2312" w:hAnsi="仿宋_GB2312" w:cs="仿宋_GB2312" w:eastAsia="仿宋_GB2312"/>
        </w:rPr>
        <w:t>陕西百美圣泰项目管理有限公司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陕西百美圣泰项目管理有限公司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陕西百美圣泰项目管理有限公司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陕西百美圣泰项目管理有限公司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陕西百美圣泰项目管理有限公司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陕西百美圣泰项目管理有限公司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联系人：何工</w:t>
      </w:r>
    </w:p>
    <w:p>
      <w:pPr>
        <w:pStyle w:val="null3"/>
      </w:pPr>
      <w:r>
        <w:rPr>
          <w:rFonts w:ascii="仿宋_GB2312" w:hAnsi="仿宋_GB2312" w:cs="仿宋_GB2312" w:eastAsia="仿宋_GB2312"/>
        </w:rPr>
        <w:t>联系电话：0916-8887587</w:t>
      </w:r>
    </w:p>
    <w:p>
      <w:pPr>
        <w:pStyle w:val="null3"/>
      </w:pPr>
      <w:r>
        <w:rPr>
          <w:rFonts w:ascii="仿宋_GB2312" w:hAnsi="仿宋_GB2312" w:cs="仿宋_GB2312" w:eastAsia="仿宋_GB2312"/>
        </w:rPr>
        <w:t>地址：陕西省汉中市汉台区陕西省汉中市汉台区汉中路街道办事处南关社区竹园华府天玺中心办公楼1613号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托国土空间规划“一张图”开展县级国土空间总体规划动态调整完善工作，整合规划编制、审批、实施、监督、评估、修改全链条数据资源，将“十五五”重点项目统筹纳入国土空间规划“一张图”；按照技术规范，完成留坝县国土空间规划2024年体检评估、动态维护、规划修改，并提交相关方案及数据成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留坝县国土空间总体规划修改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十五五重点项目基础测绘</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标的名称：留坝县国土空间总体规划修改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both"/>
            </w:pPr>
            <w:r>
              <w:rPr>
                <w:rFonts w:ascii="仿宋_GB2312" w:hAnsi="仿宋_GB2312" w:cs="仿宋_GB2312" w:eastAsia="仿宋_GB2312"/>
                <w:sz w:val="21"/>
              </w:rPr>
              <w:t>一、服务内容与技术要求</w:t>
            </w:r>
          </w:p>
          <w:p>
            <w:pPr>
              <w:pStyle w:val="null3"/>
              <w:spacing w:before="105" w:after="105"/>
              <w:jc w:val="both"/>
            </w:pPr>
            <w:r>
              <w:rPr>
                <w:rFonts w:ascii="仿宋_GB2312" w:hAnsi="仿宋_GB2312" w:cs="仿宋_GB2312" w:eastAsia="仿宋_GB2312"/>
                <w:sz w:val="21"/>
              </w:rPr>
              <w:t>（一）国土空间规划“一张图”全链条数据整合文件（试行）</w:t>
            </w:r>
          </w:p>
          <w:p>
            <w:pPr>
              <w:pStyle w:val="null3"/>
              <w:spacing w:before="105" w:after="105"/>
              <w:ind w:firstLine="480"/>
              <w:jc w:val="both"/>
            </w:pPr>
            <w:r>
              <w:rPr>
                <w:rFonts w:ascii="仿宋_GB2312" w:hAnsi="仿宋_GB2312" w:cs="仿宋_GB2312" w:eastAsia="仿宋_GB2312"/>
                <w:sz w:val="21"/>
              </w:rPr>
              <w:t>1.数据整合范围需全面覆盖规划编制、审批、实施、监督、评估、修改全流程法定数据资源，包括但不限于第三次全国国土调查底图数据、年度国土变更调查数据、林草湿荒调查监测数据、“三区三线”划定成果、永久基本农田核实处置成果、城乡规划许可数据、建设项目实施台账、执法督察记录等，确保数据来源合法、覆盖完整。</w:t>
            </w:r>
          </w:p>
          <w:p>
            <w:pPr>
              <w:pStyle w:val="null3"/>
              <w:spacing w:before="105" w:after="105"/>
              <w:ind w:firstLine="480"/>
              <w:jc w:val="both"/>
            </w:pPr>
            <w:r>
              <w:rPr>
                <w:rFonts w:ascii="仿宋_GB2312" w:hAnsi="仿宋_GB2312" w:cs="仿宋_GB2312" w:eastAsia="仿宋_GB2312"/>
                <w:sz w:val="21"/>
              </w:rPr>
              <w:t>2.“十五五”重点项目统筹纳入需完成三项核心工作：一是全面对接留坝县“十五五”国民经济和社会发展规划，系统梳理基础设施、产业发展、生态保护、民生保障等各类重点项目清单；二是明确每个项目的空间坐标、用地规模、建设时序、用途属性等核心信息，严格完成项目与“三区三线”、“城市四线”的合规性校验，出具合规性校验报告；三是建立项目空间预留动态管理机制，将符合规划要求的项目精准落位至国土空间规划“一张图”，实现项目用地需求与空间供给的动态匹配，保障“十五五”项目空间保障率达到100%。</w:t>
            </w:r>
          </w:p>
          <w:p>
            <w:pPr>
              <w:pStyle w:val="null3"/>
            </w:pPr>
            <w:r>
              <w:rPr>
                <w:rFonts w:ascii="仿宋_GB2312" w:hAnsi="仿宋_GB2312" w:cs="仿宋_GB2312" w:eastAsia="仿宋_GB2312"/>
                <w:sz w:val="21"/>
              </w:rPr>
              <w:t>（二）2024年国土空间规划</w:t>
            </w:r>
            <w:r>
              <w:rPr>
                <w:rFonts w:ascii="仿宋_GB2312" w:hAnsi="仿宋_GB2312" w:cs="仿宋_GB2312" w:eastAsia="仿宋_GB2312"/>
                <w:sz w:val="21"/>
              </w:rPr>
              <w:t>体检评估</w:t>
            </w:r>
          </w:p>
          <w:p>
            <w:pPr>
              <w:pStyle w:val="null3"/>
              <w:spacing w:before="105" w:after="105"/>
              <w:ind w:firstLine="480"/>
              <w:jc w:val="both"/>
            </w:pPr>
            <w:r>
              <w:rPr>
                <w:rFonts w:ascii="仿宋_GB2312" w:hAnsi="仿宋_GB2312" w:cs="仿宋_GB2312" w:eastAsia="仿宋_GB2312"/>
                <w:sz w:val="21"/>
              </w:rPr>
              <w:t>1.评估周期需覆盖2024年度，重点评估“三区三线”管控执行情况、城镇开发边界落实成效、重大项目推进进度、基础设施配套完善度、生态保护修复效果等年度目标完成情况；综合评估需对2024年整体规划实施情况进行全面研判，深化细化县级评估要点，包括城市安全韧性（含蓄滞洪区与城镇开发边界重叠面积、水源地数量、老旧燃气管网改造进度等指标）、空间品质提升、历史文化保护、城乡融合发展、15分钟社区生活圈构建、城市更新与乡村振兴衔接、空间资产盘活利用等内容，严格遵循新版《国土空间规划城市体检评估规程》要求设置评估指标体系。</w:t>
            </w:r>
          </w:p>
          <w:p>
            <w:pPr>
              <w:pStyle w:val="null3"/>
              <w:spacing w:before="105" w:after="105"/>
              <w:ind w:firstLine="480"/>
              <w:jc w:val="both"/>
            </w:pPr>
            <w:r>
              <w:rPr>
                <w:rFonts w:ascii="仿宋_GB2312" w:hAnsi="仿宋_GB2312" w:cs="仿宋_GB2312" w:eastAsia="仿宋_GB2312"/>
                <w:sz w:val="21"/>
              </w:rPr>
              <w:t>2.技术方法需采用数字化、智慧化手段，基于国土空间规划实施监测网络，融合物联网传感数据、手机信令、POI等时空大数据，构建智能化评估模型。建立“现状研判-问题诊断-原因分析-优化建议”闭环体系，评估结论需全部量化呈现，核心指标达标率、空间冲突面积占比、设施覆盖达标率等关键数据需精准核算。按照省市级统一安排部署，并通过国土空间规划实施监测网络逐级报备至省级自然资源主管部门。</w:t>
            </w:r>
          </w:p>
          <w:p>
            <w:pPr>
              <w:pStyle w:val="null3"/>
              <w:spacing w:before="105" w:after="105"/>
              <w:jc w:val="both"/>
            </w:pPr>
            <w:r>
              <w:rPr>
                <w:rFonts w:ascii="仿宋_GB2312" w:hAnsi="仿宋_GB2312" w:cs="仿宋_GB2312" w:eastAsia="仿宋_GB2312"/>
                <w:sz w:val="21"/>
              </w:rPr>
              <w:t>（三）规划动态维护与修改</w:t>
            </w:r>
          </w:p>
          <w:p>
            <w:pPr>
              <w:pStyle w:val="null3"/>
            </w:pPr>
            <w:r>
              <w:rPr>
                <w:rFonts w:ascii="仿宋_GB2312" w:hAnsi="仿宋_GB2312" w:cs="仿宋_GB2312" w:eastAsia="仿宋_GB2312"/>
                <w:sz w:val="21"/>
              </w:rPr>
              <w:t>1.动态维护需建立规划核心内容动态更新机制，对用地布局、指标分配、管控要求等调整事项实行“一</w:t>
            </w:r>
            <w:r>
              <w:rPr>
                <w:rFonts w:ascii="仿宋_GB2312" w:hAnsi="仿宋_GB2312" w:cs="仿宋_GB2312" w:eastAsia="仿宋_GB2312"/>
                <w:sz w:val="21"/>
              </w:rPr>
              <w:t>次录入、多方共享、动态联动”管理。</w:t>
            </w:r>
          </w:p>
          <w:p>
            <w:pPr>
              <w:pStyle w:val="null3"/>
              <w:spacing w:before="105" w:after="105"/>
              <w:ind w:firstLine="480"/>
              <w:jc w:val="both"/>
            </w:pPr>
            <w:r>
              <w:rPr>
                <w:rFonts w:ascii="仿宋_GB2312" w:hAnsi="仿宋_GB2312" w:cs="仿宋_GB2312" w:eastAsia="仿宋_GB2312"/>
                <w:sz w:val="21"/>
              </w:rPr>
              <w:t>2.规划修改需严格依据体检评估成果，明确修改范围、理由及法定依据，修改内容需符合《中华人民共和国城乡规划法》及相关技术规程要求。必须履行“征求意见-专家论证-公众参与-合规审查”法定程序，专家论证需邀请不少于3名相关领域高级技术职称专家参与，公众参与有效反馈意见采纳率需在报告中明确说明。修改后的数据需与原规划版本形成完整关联追溯，全程保留修改轨迹与审批记录，确保规划修改全过程可查可溯。</w:t>
            </w:r>
          </w:p>
          <w:p>
            <w:pPr>
              <w:pStyle w:val="null3"/>
              <w:spacing w:before="105" w:after="105"/>
              <w:jc w:val="both"/>
            </w:pPr>
            <w:r>
              <w:rPr>
                <w:rFonts w:ascii="仿宋_GB2312" w:hAnsi="仿宋_GB2312" w:cs="仿宋_GB2312" w:eastAsia="仿宋_GB2312"/>
                <w:sz w:val="21"/>
              </w:rPr>
              <w:t>二、成果要求</w:t>
            </w:r>
          </w:p>
          <w:p>
            <w:pPr>
              <w:pStyle w:val="null3"/>
              <w:spacing w:before="105" w:after="105"/>
              <w:jc w:val="both"/>
            </w:pPr>
            <w:r>
              <w:rPr>
                <w:rFonts w:ascii="仿宋_GB2312" w:hAnsi="仿宋_GB2312" w:cs="仿宋_GB2312" w:eastAsia="仿宋_GB2312"/>
                <w:sz w:val="21"/>
              </w:rPr>
              <w:t>（一）成果类型与格式要求</w:t>
            </w:r>
          </w:p>
          <w:p>
            <w:pPr>
              <w:pStyle w:val="null3"/>
              <w:spacing w:before="105" w:after="105"/>
              <w:ind w:firstLine="480"/>
              <w:jc w:val="both"/>
            </w:pPr>
            <w:r>
              <w:rPr>
                <w:rFonts w:ascii="仿宋_GB2312" w:hAnsi="仿宋_GB2312" w:cs="仿宋_GB2312" w:eastAsia="仿宋_GB2312"/>
                <w:sz w:val="21"/>
              </w:rPr>
              <w:t>1.文本成果包括：</w:t>
            </w:r>
          </w:p>
          <w:p>
            <w:pPr>
              <w:pStyle w:val="null3"/>
              <w:spacing w:before="105" w:after="105"/>
              <w:ind w:firstLine="480"/>
              <w:jc w:val="both"/>
            </w:pPr>
            <w:r>
              <w:rPr>
                <w:rFonts w:ascii="仿宋_GB2312" w:hAnsi="仿宋_GB2312" w:cs="仿宋_GB2312" w:eastAsia="仿宋_GB2312"/>
                <w:sz w:val="21"/>
              </w:rPr>
              <w:t>2024年体检评估报告、规划修改方案（含动态维护）。文本成果需同时提供word和PDF两种格式，采用A4纸张规格，正文为宋体小四字体，行距1.5倍，页码、目录齐全，排版规范统一。</w:t>
            </w:r>
          </w:p>
          <w:p>
            <w:pPr>
              <w:pStyle w:val="null3"/>
              <w:spacing w:before="105" w:after="105"/>
              <w:ind w:firstLine="480"/>
              <w:jc w:val="both"/>
            </w:pPr>
            <w:r>
              <w:rPr>
                <w:rFonts w:ascii="仿宋_GB2312" w:hAnsi="仿宋_GB2312" w:cs="仿宋_GB2312" w:eastAsia="仿宋_GB2312"/>
                <w:sz w:val="21"/>
              </w:rPr>
              <w:t>2.涉及到相关情形优化的，图件成果应包括：</w:t>
            </w:r>
          </w:p>
          <w:p>
            <w:pPr>
              <w:pStyle w:val="null3"/>
              <w:spacing w:before="105" w:after="105"/>
              <w:ind w:firstLine="480"/>
              <w:jc w:val="both"/>
            </w:pPr>
            <w:r>
              <w:rPr>
                <w:rFonts w:ascii="仿宋_GB2312" w:hAnsi="仿宋_GB2312" w:cs="仿宋_GB2312" w:eastAsia="仿宋_GB2312"/>
                <w:sz w:val="21"/>
              </w:rPr>
              <w:t>①永久基本农田正向优化图(标明调入、调出)；</w:t>
            </w:r>
          </w:p>
          <w:p>
            <w:pPr>
              <w:pStyle w:val="null3"/>
              <w:spacing w:before="105" w:after="105"/>
              <w:ind w:firstLine="480"/>
              <w:jc w:val="both"/>
            </w:pPr>
            <w:r>
              <w:rPr>
                <w:rFonts w:ascii="仿宋_GB2312" w:hAnsi="仿宋_GB2312" w:cs="仿宋_GB2312" w:eastAsia="仿宋_GB2312"/>
                <w:sz w:val="21"/>
              </w:rPr>
              <w:t>②生态保护红线正向优化图(标明调入、调出)；</w:t>
            </w:r>
          </w:p>
          <w:p>
            <w:pPr>
              <w:pStyle w:val="null3"/>
              <w:spacing w:before="105" w:after="105"/>
              <w:ind w:firstLine="480"/>
              <w:jc w:val="both"/>
            </w:pPr>
            <w:r>
              <w:rPr>
                <w:rFonts w:ascii="仿宋_GB2312" w:hAnsi="仿宋_GB2312" w:cs="仿宋_GB2312" w:eastAsia="仿宋_GB2312"/>
                <w:sz w:val="21"/>
              </w:rPr>
              <w:t>③城镇开发边界正向优化图(标明调入、调出)；</w:t>
            </w:r>
          </w:p>
          <w:p>
            <w:pPr>
              <w:pStyle w:val="null3"/>
              <w:spacing w:before="105" w:after="105"/>
              <w:ind w:firstLine="480"/>
              <w:jc w:val="both"/>
            </w:pPr>
            <w:r>
              <w:rPr>
                <w:rFonts w:ascii="仿宋_GB2312" w:hAnsi="仿宋_GB2312" w:cs="仿宋_GB2312" w:eastAsia="仿宋_GB2312"/>
                <w:sz w:val="21"/>
              </w:rPr>
              <w:t>④国土空间用地用海规划分区正向优化图；</w:t>
            </w:r>
          </w:p>
          <w:p>
            <w:pPr>
              <w:pStyle w:val="null3"/>
            </w:pPr>
            <w:r>
              <w:rPr>
                <w:rFonts w:ascii="仿宋_GB2312" w:hAnsi="仿宋_GB2312" w:cs="仿宋_GB2312" w:eastAsia="仿宋_GB2312"/>
                <w:sz w:val="21"/>
              </w:rPr>
              <w:t xml:space="preserve">    ⑤中心城区土地使用</w:t>
            </w:r>
            <w:r>
              <w:rPr>
                <w:rFonts w:ascii="仿宋_GB2312" w:hAnsi="仿宋_GB2312" w:cs="仿宋_GB2312" w:eastAsia="仿宋_GB2312"/>
                <w:sz w:val="21"/>
              </w:rPr>
              <w:t>规划正向优化图；</w:t>
            </w:r>
          </w:p>
          <w:p>
            <w:pPr>
              <w:pStyle w:val="null3"/>
              <w:spacing w:before="105" w:after="105"/>
              <w:ind w:firstLine="480"/>
              <w:jc w:val="both"/>
            </w:pPr>
            <w:r>
              <w:rPr>
                <w:rFonts w:ascii="仿宋_GB2312" w:hAnsi="仿宋_GB2312" w:cs="仿宋_GB2312" w:eastAsia="仿宋_GB2312"/>
                <w:sz w:val="21"/>
              </w:rPr>
              <w:t>⑥中心城区控制线规划正向优化图；</w:t>
            </w:r>
          </w:p>
          <w:p>
            <w:pPr>
              <w:pStyle w:val="null3"/>
              <w:spacing w:before="105" w:after="105"/>
              <w:ind w:firstLine="480"/>
              <w:jc w:val="both"/>
            </w:pPr>
            <w:r>
              <w:rPr>
                <w:rFonts w:ascii="仿宋_GB2312" w:hAnsi="仿宋_GB2312" w:cs="仿宋_GB2312" w:eastAsia="仿宋_GB2312"/>
                <w:sz w:val="21"/>
              </w:rPr>
              <w:t>⑦历史文化保护规划正向优化图；</w:t>
            </w:r>
          </w:p>
          <w:p>
            <w:pPr>
              <w:pStyle w:val="null3"/>
              <w:spacing w:before="105" w:after="105"/>
              <w:ind w:firstLine="480"/>
              <w:jc w:val="both"/>
            </w:pPr>
            <w:r>
              <w:rPr>
                <w:rFonts w:ascii="仿宋_GB2312" w:hAnsi="仿宋_GB2312" w:cs="仿宋_GB2312" w:eastAsia="仿宋_GB2312"/>
                <w:sz w:val="21"/>
              </w:rPr>
              <w:t>⑧洪涝风险控制线正向优化图。</w:t>
            </w:r>
          </w:p>
          <w:p>
            <w:pPr>
              <w:pStyle w:val="null3"/>
              <w:spacing w:before="105" w:after="105"/>
              <w:ind w:firstLine="480"/>
              <w:jc w:val="both"/>
            </w:pPr>
            <w:r>
              <w:rPr>
                <w:rFonts w:ascii="仿宋_GB2312" w:hAnsi="仿宋_GB2312" w:cs="仿宋_GB2312" w:eastAsia="仿宋_GB2312"/>
                <w:sz w:val="21"/>
              </w:rPr>
              <w:t>3.数据成果包括：</w:t>
            </w:r>
          </w:p>
          <w:p>
            <w:pPr>
              <w:pStyle w:val="null3"/>
              <w:spacing w:before="105" w:after="105"/>
              <w:ind w:firstLine="480"/>
              <w:jc w:val="both"/>
            </w:pPr>
            <w:r>
              <w:rPr>
                <w:rFonts w:ascii="仿宋_GB2312" w:hAnsi="仿宋_GB2312" w:cs="仿宋_GB2312" w:eastAsia="仿宋_GB2312"/>
                <w:sz w:val="21"/>
              </w:rPr>
              <w:t>标准化数据库（含现状数据、规划数据、实施数据、项目数据等）、数据字典及质量检查报告、规划修改矢量数据集。所有数据需符合GB/T39972-2021数据格式要求，数据库结构规范，字段定义准确，支持与国土空间“一张图”实施监督信息系统无缝对接，数据质量检查通过率需达到100%。</w:t>
            </w:r>
          </w:p>
          <w:p>
            <w:pPr>
              <w:pStyle w:val="null3"/>
              <w:spacing w:before="105" w:after="105"/>
              <w:ind w:firstLine="560"/>
              <w:jc w:val="both"/>
            </w:pPr>
            <w:r>
              <w:rPr>
                <w:rFonts w:ascii="仿宋_GB2312" w:hAnsi="仿宋_GB2312" w:cs="仿宋_GB2312" w:eastAsia="仿宋_GB2312"/>
                <w:sz w:val="21"/>
              </w:rPr>
              <w:t>4.系统成果包括：</w:t>
            </w:r>
          </w:p>
          <w:p>
            <w:pPr>
              <w:pStyle w:val="null3"/>
              <w:spacing w:before="105" w:after="105"/>
              <w:ind w:firstLine="480"/>
              <w:jc w:val="both"/>
            </w:pPr>
            <w:r>
              <w:rPr>
                <w:rFonts w:ascii="仿宋_GB2312" w:hAnsi="仿宋_GB2312" w:cs="仿宋_GB2312" w:eastAsia="仿宋_GB2312"/>
                <w:sz w:val="21"/>
              </w:rPr>
              <w:t>①留坝县国土空间总体规划2024年体检评估报告（纸质版、word及PDF格式电子版）；</w:t>
            </w:r>
          </w:p>
          <w:p>
            <w:pPr>
              <w:pStyle w:val="null3"/>
              <w:spacing w:before="105" w:after="105"/>
              <w:ind w:firstLine="480"/>
              <w:jc w:val="both"/>
            </w:pPr>
            <w:r>
              <w:rPr>
                <w:rFonts w:ascii="仿宋_GB2312" w:hAnsi="仿宋_GB2312" w:cs="仿宋_GB2312" w:eastAsia="仿宋_GB2312"/>
                <w:sz w:val="21"/>
              </w:rPr>
              <w:t>②留坝县国土空间总体规划修改方案（含动态维护）（纸质版、word及PDF格式电子版、全套shp格式数据库）。</w:t>
            </w:r>
          </w:p>
          <w:p>
            <w:pPr>
              <w:pStyle w:val="null3"/>
              <w:spacing w:before="105" w:after="105"/>
              <w:jc w:val="both"/>
            </w:pPr>
            <w:r>
              <w:rPr>
                <w:rFonts w:ascii="仿宋_GB2312" w:hAnsi="仿宋_GB2312" w:cs="仿宋_GB2312" w:eastAsia="仿宋_GB2312"/>
                <w:sz w:val="21"/>
              </w:rPr>
              <w:t>（二）成果质量标准</w:t>
            </w:r>
          </w:p>
          <w:p>
            <w:pPr>
              <w:pStyle w:val="null3"/>
              <w:spacing w:before="105" w:after="105"/>
              <w:ind w:firstLine="480"/>
              <w:jc w:val="both"/>
            </w:pPr>
            <w:r>
              <w:rPr>
                <w:rFonts w:ascii="仿宋_GB2312" w:hAnsi="仿宋_GB2312" w:cs="仿宋_GB2312" w:eastAsia="仿宋_GB2312"/>
                <w:sz w:val="21"/>
              </w:rPr>
              <w:t>合规性：所有成果需严格符合《自然资源部关于全面开展国土空间规划工作的通知》《自然资源部办公厅关于加强国土空间规划监督管理的通知》等国家、省、市现行国土空间规划标准规范，顺利通过自然资源主管部门合规性审查及备案。</w:t>
            </w:r>
          </w:p>
          <w:p>
            <w:pPr>
              <w:pStyle w:val="null3"/>
            </w:pPr>
            <w:r>
              <w:rPr>
                <w:rFonts w:ascii="仿宋_GB2312" w:hAnsi="仿宋_GB2312" w:cs="仿宋_GB2312" w:eastAsia="仿宋_GB2312"/>
                <w:sz w:val="21"/>
              </w:rPr>
              <w:t>准确性：数据误差需控制在国家技术规范允许范围</w:t>
            </w:r>
            <w:r>
              <w:rPr>
                <w:rFonts w:ascii="仿宋_GB2312" w:hAnsi="仿宋_GB2312" w:cs="仿宋_GB2312" w:eastAsia="仿宋_GB2312"/>
                <w:sz w:val="21"/>
              </w:rPr>
              <w:t>内，空间数据拓扑关系正确，属性数据无错误；文本表述严谨无歧义，图件要素无遗漏、标注无错误，核心数据准确率达到100%。</w:t>
            </w:r>
          </w:p>
          <w:p>
            <w:pPr>
              <w:pStyle w:val="null3"/>
              <w:spacing w:before="105" w:after="105"/>
              <w:ind w:firstLine="480"/>
              <w:jc w:val="both"/>
            </w:pPr>
            <w:r>
              <w:rPr>
                <w:rFonts w:ascii="仿宋_GB2312" w:hAnsi="仿宋_GB2312" w:cs="仿宋_GB2312" w:eastAsia="仿宋_GB2312"/>
                <w:sz w:val="21"/>
              </w:rPr>
              <w:t>实用性：成果需完全满足留坝县国土空间规划管理、审批许可、用途管制、执法督察等实际工作需求，可直接应用于日常管理及重大项目决策，具备较强的操作性和指导性。</w:t>
            </w:r>
          </w:p>
          <w:p>
            <w:pPr>
              <w:pStyle w:val="null3"/>
              <w:spacing w:before="105" w:after="105"/>
              <w:ind w:firstLine="480"/>
              <w:jc w:val="both"/>
            </w:pPr>
            <w:r>
              <w:rPr>
                <w:rFonts w:ascii="仿宋_GB2312" w:hAnsi="仿宋_GB2312" w:cs="仿宋_GB2312" w:eastAsia="仿宋_GB2312"/>
                <w:sz w:val="21"/>
              </w:rPr>
              <w:t>完整性：所有成果类型需按要求全面提供，无缺失、无遗漏；报告内容需涵盖全部规定章节，数据成果需覆盖全流程数据资源，图件成果需完整呈现规划调整前后对比及核心指标空间分布情况。</w:t>
            </w:r>
          </w:p>
          <w:p>
            <w:pPr>
              <w:pStyle w:val="null3"/>
              <w:spacing w:before="105" w:after="105"/>
              <w:jc w:val="both"/>
            </w:pPr>
            <w:r>
              <w:rPr>
                <w:rFonts w:ascii="仿宋_GB2312" w:hAnsi="仿宋_GB2312" w:cs="仿宋_GB2312" w:eastAsia="仿宋_GB2312"/>
                <w:sz w:val="21"/>
              </w:rPr>
              <w:t xml:space="preserve">   时效性：所有成果需在合同约定时限内完成交付，数据成果需采用最新有效数据，报告成果需反映最新规划实施情况及调整需求，确保成果交付时的有效性和适用性。</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①、安全责任：成交供应商在服务实施过程中的安全责任由成交单位负全责，采购人不承担任何安全责任，也不承担如发生安全事故产生的任何责任。 ②、保密要求：项目成果归采购人所有，成交供应商未经采购人许可，禁止将项目成果资料泄露给任何第三方和对外公布。否则承担相应经济和法律责任。 ③、供应商应保证在本项目使用的任何产品和服务（包括部分使用）时，不会产生因第三方提出侵犯其专利权、商标权或其他知识产权而引起的法律和经济纠纷，如因专利权、商标权或其他知识产权而引起法律和经济纠纷，由供应商承担所有相关责任。采购人享有本项目实施过程中产生的知识成果及知识产权。 ④、报价要求：报价是供应商响应采购项目要求的全部工作内容的价格体现，包括但不限于完成本项目所涉及的人员工资（含保险）、现场调研费用、设计费、文本制作费用、车旅费、专家评审费等在内的含税价格，并且在合同履行过程中是固定不变的，任何有选择或可调整的报价将不予接受，并按无效处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标的名称：十五五重点项目基础测绘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一、服务内容与技术要求</w:t>
            </w:r>
          </w:p>
          <w:p>
            <w:pPr>
              <w:pStyle w:val="null3"/>
            </w:pPr>
            <w:r>
              <w:rPr>
                <w:rFonts w:ascii="仿宋_GB2312" w:hAnsi="仿宋_GB2312" w:cs="仿宋_GB2312" w:eastAsia="仿宋_GB2312"/>
                <w:sz w:val="21"/>
              </w:rPr>
              <w:t>对接留坝县“十五五”国民经济和社会发展规划，按照“十五五”和2026年重点项目清单，实地测绘重点项目用地范围，明确项目的空间坐标、用地规模，确保“十五五”和2026年重点项目全部精准上图，项目空间保障率达到100%。</w:t>
            </w:r>
          </w:p>
          <w:p>
            <w:pPr>
              <w:pStyle w:val="null3"/>
            </w:pPr>
            <w:r>
              <w:rPr>
                <w:rFonts w:ascii="仿宋_GB2312" w:hAnsi="仿宋_GB2312" w:cs="仿宋_GB2312" w:eastAsia="仿宋_GB2312"/>
                <w:sz w:val="21"/>
              </w:rPr>
              <w:t>二、成果要求</w:t>
            </w:r>
          </w:p>
          <w:p>
            <w:pPr>
              <w:pStyle w:val="null3"/>
            </w:pPr>
            <w:r>
              <w:rPr>
                <w:rFonts w:ascii="仿宋_GB2312" w:hAnsi="仿宋_GB2312" w:cs="仿宋_GB2312" w:eastAsia="仿宋_GB2312"/>
                <w:sz w:val="21"/>
              </w:rPr>
              <w:t>（一）成果类型与格式要求</w:t>
            </w:r>
          </w:p>
          <w:p>
            <w:pPr>
              <w:pStyle w:val="null3"/>
            </w:pPr>
            <w:r>
              <w:rPr>
                <w:rFonts w:ascii="仿宋_GB2312" w:hAnsi="仿宋_GB2312" w:cs="仿宋_GB2312" w:eastAsia="仿宋_GB2312"/>
                <w:sz w:val="21"/>
              </w:rPr>
              <w:t>提交符合勘测定界成果要求的项目测绘数据（shp格式）和勘测定界报告。</w:t>
            </w:r>
          </w:p>
          <w:p>
            <w:pPr>
              <w:pStyle w:val="null3"/>
            </w:pPr>
            <w:r>
              <w:rPr>
                <w:rFonts w:ascii="仿宋_GB2312" w:hAnsi="仿宋_GB2312" w:cs="仿宋_GB2312" w:eastAsia="仿宋_GB2312"/>
                <w:sz w:val="21"/>
              </w:rPr>
              <w:t>（二）成果质量标准</w:t>
            </w:r>
          </w:p>
          <w:p>
            <w:pPr>
              <w:pStyle w:val="null3"/>
              <w:ind w:firstLine="480"/>
            </w:pPr>
            <w:r>
              <w:rPr>
                <w:rFonts w:ascii="仿宋_GB2312" w:hAnsi="仿宋_GB2312" w:cs="仿宋_GB2312" w:eastAsia="仿宋_GB2312"/>
                <w:sz w:val="21"/>
              </w:rPr>
              <w:t>合规性：所有成果需严格符合《自然资源部关于全面开展国土空间规划工作的通知》《自然资源部办公厅关于加强国土空间规划监督管理的通知》等国家、省、市现行国土空间规划标准规范，顺利通过自然资源主管部门合规性审查及备案。</w:t>
            </w:r>
          </w:p>
          <w:p>
            <w:pPr>
              <w:pStyle w:val="null3"/>
              <w:ind w:firstLine="480"/>
            </w:pPr>
            <w:r>
              <w:rPr>
                <w:rFonts w:ascii="仿宋_GB2312" w:hAnsi="仿宋_GB2312" w:cs="仿宋_GB2312" w:eastAsia="仿宋_GB2312"/>
                <w:sz w:val="21"/>
              </w:rPr>
              <w:t>准确性：数据误差需控制在国家技术规范允许范围内，空间数据拓扑关系正确，属性数据无错误；文本表述严谨无歧义，图件要素无遗漏、标注无错误，核心数据准确率达到100%。</w:t>
            </w:r>
          </w:p>
          <w:p>
            <w:pPr>
              <w:pStyle w:val="null3"/>
              <w:ind w:firstLine="480"/>
            </w:pPr>
            <w:r>
              <w:rPr>
                <w:rFonts w:ascii="仿宋_GB2312" w:hAnsi="仿宋_GB2312" w:cs="仿宋_GB2312" w:eastAsia="仿宋_GB2312"/>
                <w:sz w:val="21"/>
              </w:rPr>
              <w:t>实用性：成果需完全满足留坝县国土空间规划管理、审批许可、用途管制、执法督察等实际工作需求，可直接应用于日常管理及重大项目决策，具备较强的操作性和指导性。</w:t>
            </w:r>
          </w:p>
          <w:p>
            <w:pPr>
              <w:pStyle w:val="null3"/>
              <w:ind w:firstLine="480"/>
            </w:pPr>
            <w:r>
              <w:rPr>
                <w:rFonts w:ascii="仿宋_GB2312" w:hAnsi="仿宋_GB2312" w:cs="仿宋_GB2312" w:eastAsia="仿宋_GB2312"/>
                <w:sz w:val="21"/>
              </w:rPr>
              <w:t>完整性：所有成果类型需按要求全面提供，无缺失、无遗漏；报告内容需涵盖全部规定章节，数据成果需覆盖全流程数据资源，图件成果需完整呈现规划调整前后对比及核心指标空间分布情况。</w:t>
            </w:r>
          </w:p>
          <w:p>
            <w:pPr>
              <w:pStyle w:val="null3"/>
            </w:pPr>
            <w:r>
              <w:rPr>
                <w:rFonts w:ascii="仿宋_GB2312" w:hAnsi="仿宋_GB2312" w:cs="仿宋_GB2312" w:eastAsia="仿宋_GB2312"/>
                <w:sz w:val="21"/>
              </w:rPr>
              <w:t xml:space="preserve">   时效性：所有成果需在合同约定时限内完成交付，数据成果需采用最新有效数据，报告成果需反映最新规划实施情况及调整需求，确保成果交付时的有效性和适用性。</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①、安全责任：成交供应商在服务实施过程中的安全责任由成交单位负全责，采购人不承担任何安全责任，也不承担如发生安全事故产生的任何责任。 ②、保密要求：项目成果归采购人所有，成交供应商未经采购人许可，禁止将项目成果资料泄露给任何第三方和对外公布。否则承担相应经济和法律责任。 ③、供应商应保证在本项目使用的任何产品和服务（包括部分使用）时，不会产生因第三方提出侵犯其专利权、商标权或其他知识产权而引起的法律和经济纠纷，如因专利权、商标权或其他知识产权而引起法律和经济纠纷，由供应商承担所有相关责任。采购人享有本项目实施过程中产生的知识成果及知识产权。 ④、报价要求：报价是供应商响应采购项目要求的全部工作内容的价格体现，包括但不限于完成本项目所涉及的人员工资（含保险）、现场调研费用、设计费、文本制作费用、车旅费、专家评审费等在内的含税价格，并且在合同履行过程中是固定不变的，任何有选择或可调整的报价将不予接受，并按无效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自合同签订之日起180天内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初步提交成果文件后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成果文件经采购人及其他相关部门审查合格后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移交所有资料后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初步提交成果文件后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成果文件经采购人及其他相关部门审查合格后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移交所有资料后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③如供应商提交的成果达不到相关质量要求或未按采购人时间进度安排完成成果，采购人有权扣除合同支付金额和提出解除合同。 （2）争议解决办法 ①采购人及供应商双方就采购合同所产生的任何争议都应该进行友好协商，协商解决不成的，任何一方均可向项目所在地法院申请诉讼。 ②诉讼费应由败诉方承担。 ③在诉讼期间，除正在进行诉讼的部分外，合同其他部分继续执行。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③如供应商提交的成果达不到相关质量要求或未按采购人时间进度安排完成成果，采购人有权扣除合同支付金额和提出解除合同。 （2）争议解决办法 ①采购人及供应商双方就采购合同所产生的任何争议都应该进行友好协商，协商解决不成的，任何一方均可向项目所在地法院申请诉讼。 ②诉讼费应由败诉方承担。 ③在诉讼期间，除正在进行诉讼的部分外，合同其他部分继续执行。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供应商具有行政主管部门颁发的且在有效期内的城乡规划编制乙级及以上资质或城乡规划（国土空间规划）编制乙级及以上资质；</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单位负责人为同一人或者存在直接控股、管理关系的不同供应商，不得参加同一合同项下的磋商活动</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供应商应具备国家测绘主管部门核发的测绘乙级（含乙级）以上资质;</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单位负责人为同一人或者存在直接控股、管理关系的不同供应商，不得参加同一合同项下的磋商活动</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保证金格式.docx 报价表 项目服务实施方案.docx 响应文件封面 供应商应提交的相关资格证明材料.docx 残疾人福利性单位声明函 标的清单 响应函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响应文件是否按磋商文件要求签署、盖章</w:t>
            </w:r>
          </w:p>
        </w:tc>
        <w:tc>
          <w:tcPr>
            <w:tcW w:type="dxa" w:w="1661"/>
          </w:tcPr>
          <w:p>
            <w:pPr>
              <w:pStyle w:val="null3"/>
            </w:pPr>
            <w:r>
              <w:rPr>
                <w:rFonts w:ascii="仿宋_GB2312" w:hAnsi="仿宋_GB2312" w:cs="仿宋_GB2312" w:eastAsia="仿宋_GB2312"/>
              </w:rPr>
              <w:t>服务内容及服务邀请应答表 中小企业声明函 商务应答表 保证金格式.docx 报价表 项目服务实施方案.docx 响应文件封面 供应商应提交的相关资格证明材料.docx 残疾人福利性单位声明函 标的清单 响应函 类似业绩.docx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响应文件报价唯一，且没有高于项目预算</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磋商保证金提交的金额、形式符合磋商文件要 求</w:t>
            </w:r>
          </w:p>
        </w:tc>
        <w:tc>
          <w:tcPr>
            <w:tcW w:type="dxa" w:w="1661"/>
          </w:tcPr>
          <w:p>
            <w:pPr>
              <w:pStyle w:val="null3"/>
            </w:pPr>
            <w:r>
              <w:rPr>
                <w:rFonts w:ascii="仿宋_GB2312" w:hAnsi="仿宋_GB2312" w:cs="仿宋_GB2312" w:eastAsia="仿宋_GB2312"/>
              </w:rPr>
              <w:t>响应文件封面 供应商应提交的相关资格证明材料.docx 保证金格式.docx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商务应答表 标的清单 报价表 响应函 项目服务实施方案.docx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标的清单 保证金格式.docx 报价表 响应函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响应文件是否按磋商文件要求签署、盖章</w:t>
            </w:r>
          </w:p>
        </w:tc>
        <w:tc>
          <w:tcPr>
            <w:tcW w:type="dxa" w:w="1661"/>
          </w:tcPr>
          <w:p>
            <w:pPr>
              <w:pStyle w:val="null3"/>
            </w:pPr>
            <w:r>
              <w:rPr>
                <w:rFonts w:ascii="仿宋_GB2312" w:hAnsi="仿宋_GB2312" w:cs="仿宋_GB2312" w:eastAsia="仿宋_GB2312"/>
              </w:rPr>
              <w:t>服务内容及服务邀请应答表 中小企业声明函 商务应答表 保证金格式.docx 报价表 项目服务实施方案.docx 响应文件封面 供应商应提交的相关资格证明材料.docx 残疾人福利性单位声明函 标的清单 响应函 类似业绩.docx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响应文件报价唯一，且没有高于项目预算</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磋商保证金提交的金额、形式符合磋商文件要求</w:t>
            </w:r>
          </w:p>
        </w:tc>
        <w:tc>
          <w:tcPr>
            <w:tcW w:type="dxa" w:w="1661"/>
          </w:tcPr>
          <w:p>
            <w:pPr>
              <w:pStyle w:val="null3"/>
            </w:pPr>
            <w:r>
              <w:rPr>
                <w:rFonts w:ascii="仿宋_GB2312" w:hAnsi="仿宋_GB2312" w:cs="仿宋_GB2312" w:eastAsia="仿宋_GB2312"/>
              </w:rPr>
              <w:t>供应商应提交的相关资格证明材料.docx 保证金格式.docx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商务应答表 标的清单 报价表 响应函 项目服务实施方案.docx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供应商提供自2023年1月1日至本项目响应文件递交截止时间前的类似业绩证明材料，每提供1项得2分，最多得4分。未提供的不得分。 评审依据：提供合同的复印件或扫描件加盖公章，时间以合同签订时间为准。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拟任项目负责人</w:t>
            </w:r>
          </w:p>
        </w:tc>
        <w:tc>
          <w:tcPr>
            <w:tcW w:type="dxa" w:w="2492"/>
          </w:tcPr>
          <w:p>
            <w:pPr>
              <w:pStyle w:val="null3"/>
            </w:pPr>
            <w:r>
              <w:rPr>
                <w:rFonts w:ascii="仿宋_GB2312" w:hAnsi="仿宋_GB2312" w:cs="仿宋_GB2312" w:eastAsia="仿宋_GB2312"/>
              </w:rPr>
              <w:t>具有注册城市（乡）规划师注册证书的得4分，具有规划相关专业高级及以上职称的得2分，本项满分6分。（拟任项目负责人不在参与项目组主要成员及其他成员得分计算）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项目组主要成员</w:t>
            </w:r>
          </w:p>
        </w:tc>
        <w:tc>
          <w:tcPr>
            <w:tcW w:type="dxa" w:w="2492"/>
          </w:tcPr>
          <w:p>
            <w:pPr>
              <w:pStyle w:val="null3"/>
            </w:pPr>
            <w:r>
              <w:rPr>
                <w:rFonts w:ascii="仿宋_GB2312" w:hAnsi="仿宋_GB2312" w:cs="仿宋_GB2312" w:eastAsia="仿宋_GB2312"/>
              </w:rPr>
              <w:t>每有一名具有注册城市(乡)规划师或注册建筑师或注册造价工程师或注册结构工程师的得2分，本项满分6分。（项目组主要成员不在参与拟任项目负责人及项目组其他成员得分计算）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项目组其他成员</w:t>
            </w:r>
          </w:p>
        </w:tc>
        <w:tc>
          <w:tcPr>
            <w:tcW w:type="dxa" w:w="2492"/>
          </w:tcPr>
          <w:p>
            <w:pPr>
              <w:pStyle w:val="null3"/>
            </w:pPr>
            <w:r>
              <w:rPr>
                <w:rFonts w:ascii="仿宋_GB2312" w:hAnsi="仿宋_GB2312" w:cs="仿宋_GB2312" w:eastAsia="仿宋_GB2312"/>
              </w:rPr>
              <w:t>每有一名具有规划类、测绘类、建筑类、市政类等相关专业中级及以上职称证书的，每提供一个得2分（专业相同的不累计计分），本项满分6分。（项目组其他成员不在参与拟任项目负责人及项目组主要成员得分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根据供应商提供的技术服务方案（包括但不限于①技术服务方案总体思路②各专项思路③工作计划及流程④技术路线及技术方法等）进行评审：</w:t>
            </w:r>
          </w:p>
        </w:tc>
        <w:tc>
          <w:tcPr>
            <w:tcW w:type="dxa" w:w="2492"/>
          </w:tcPr>
          <w:p>
            <w:pPr>
              <w:pStyle w:val="null3"/>
            </w:pPr>
            <w:r>
              <w:rPr>
                <w:rFonts w:ascii="仿宋_GB2312" w:hAnsi="仿宋_GB2312" w:cs="仿宋_GB2312" w:eastAsia="仿宋_GB2312"/>
              </w:rPr>
              <w:t>根据技术服务方案的完整性、内容表述清晰程度，各项内容的准确性、针对性及可操作性等角度考量，方案齐全且满足项目实际需求的得12分，每有一项内容缺失的扣3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根据供应商提供针对本项目质量保证措施（内容包括：①质量控制的程序②质量控制措施③质量保证体系等）进行评审：</w:t>
            </w:r>
          </w:p>
        </w:tc>
        <w:tc>
          <w:tcPr>
            <w:tcW w:type="dxa" w:w="2492"/>
          </w:tcPr>
          <w:p>
            <w:pPr>
              <w:pStyle w:val="null3"/>
            </w:pPr>
            <w:r>
              <w:rPr>
                <w:rFonts w:ascii="仿宋_GB2312" w:hAnsi="仿宋_GB2312" w:cs="仿宋_GB2312" w:eastAsia="仿宋_GB2312"/>
              </w:rPr>
              <w:t>根据质量保证措施各项内容的准确性、针对性及可操作性等角度考量，方案齐全且满足项目实际需求的得9分，每有一项内容缺失的扣3分；若上述内容存在缺陷，每出现一处缺陷扣1分，扣完为止。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根据供应商提供针对本项目的实施进度安排保证措施（包含①总体计划安排②各专项任务的衔接③提供成果时间节点等进度计划④进度保证措施等）进行评审：</w:t>
            </w:r>
          </w:p>
        </w:tc>
        <w:tc>
          <w:tcPr>
            <w:tcW w:type="dxa" w:w="2492"/>
          </w:tcPr>
          <w:p>
            <w:pPr>
              <w:pStyle w:val="null3"/>
            </w:pPr>
            <w:r>
              <w:rPr>
                <w:rFonts w:ascii="仿宋_GB2312" w:hAnsi="仿宋_GB2312" w:cs="仿宋_GB2312" w:eastAsia="仿宋_GB2312"/>
              </w:rPr>
              <w:t>根据进度保证方案的完整性、内容表述清晰程度，各项内容的准确性、针对性及可操作性等角度考量，方案齐全且满足项目实际需求的得8分，每有一项内容缺失的扣2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根据供应商提供针对本项目需求提供项目重点难点分析及合理化建议（包括但不限于①工作的重点、难点的认识②对关键环节的分析③采取的针对性措施等）进行评审：</w:t>
            </w:r>
          </w:p>
        </w:tc>
        <w:tc>
          <w:tcPr>
            <w:tcW w:type="dxa" w:w="2492"/>
          </w:tcPr>
          <w:p>
            <w:pPr>
              <w:pStyle w:val="null3"/>
            </w:pPr>
            <w:r>
              <w:rPr>
                <w:rFonts w:ascii="仿宋_GB2312" w:hAnsi="仿宋_GB2312" w:cs="仿宋_GB2312" w:eastAsia="仿宋_GB2312"/>
              </w:rPr>
              <w:t>根据项目重点难点分析及合理化建议的合理性、内容表述清晰程度、针对性及全面性等角度考量，方案齐全且满足项目实际需求的得6分，每有一项内容缺失的扣2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根据供应商提供的突发环境事件应急预案（内容包含：①可能突发的事件及预防措施；②突发事件应急措施）进行评审：</w:t>
            </w:r>
          </w:p>
        </w:tc>
        <w:tc>
          <w:tcPr>
            <w:tcW w:type="dxa" w:w="2492"/>
          </w:tcPr>
          <w:p>
            <w:pPr>
              <w:pStyle w:val="null3"/>
            </w:pPr>
            <w:r>
              <w:rPr>
                <w:rFonts w:ascii="仿宋_GB2312" w:hAnsi="仿宋_GB2312" w:cs="仿宋_GB2312" w:eastAsia="仿宋_GB2312"/>
              </w:rPr>
              <w:t>根据应急预案的完整性、内容表述清晰程度，各项内容的准确性、针对性及可操作性等角度考量，方案齐全且满足项目实际需求的得4分，每有一项内容缺失的扣2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根据供应商提供的后续服务响应情况（内容包含对①后期服务响应方案；②服务承诺；③对后续服务工作进度、人员；④后续服务技术支持；⑤服务措施；⑥提供增值服务）进行评审：</w:t>
            </w:r>
          </w:p>
        </w:tc>
        <w:tc>
          <w:tcPr>
            <w:tcW w:type="dxa" w:w="2492"/>
          </w:tcPr>
          <w:p>
            <w:pPr>
              <w:pStyle w:val="null3"/>
            </w:pPr>
            <w:r>
              <w:rPr>
                <w:rFonts w:ascii="仿宋_GB2312" w:hAnsi="仿宋_GB2312" w:cs="仿宋_GB2312" w:eastAsia="仿宋_GB2312"/>
              </w:rPr>
              <w:t>根据后续服务响应内容的完整性、内容表述清晰程度，各项内容的准确性、针对性及可操作性等角度考量，方案齐全且满足项目实际需求的得6分，每有一项内容缺失的扣1分；若上述内容存在缺陷，每出现一处缺陷扣0.5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根据供应商提供针对本项目的合理化建议进行评审：</w:t>
            </w:r>
          </w:p>
        </w:tc>
        <w:tc>
          <w:tcPr>
            <w:tcW w:type="dxa" w:w="2492"/>
          </w:tcPr>
          <w:p>
            <w:pPr>
              <w:pStyle w:val="null3"/>
            </w:pPr>
            <w:r>
              <w:rPr>
                <w:rFonts w:ascii="仿宋_GB2312" w:hAnsi="仿宋_GB2312" w:cs="仿宋_GB2312" w:eastAsia="仿宋_GB2312"/>
              </w:rPr>
              <w:t>根据合理化建议内容的完整性、清晰程度，各项内容的准确性、针对性及贴合性等角度考量，最高得3分；若上述内容存在缺陷，每出现一处缺陷扣1分，扣完为止。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供应商应针对可能接触到的内部信息，包括但不限于照片、文字材料、未公开的或依法不公开内部文件等重要信息，做出保密承诺，并制定完善的保密措施</w:t>
            </w:r>
          </w:p>
        </w:tc>
        <w:tc>
          <w:tcPr>
            <w:tcW w:type="dxa" w:w="2492"/>
          </w:tcPr>
          <w:p>
            <w:pPr>
              <w:pStyle w:val="null3"/>
            </w:pPr>
            <w:r>
              <w:rPr>
                <w:rFonts w:ascii="仿宋_GB2312" w:hAnsi="仿宋_GB2312" w:cs="仿宋_GB2312" w:eastAsia="仿宋_GB2312"/>
              </w:rPr>
              <w:t>①提供承诺函得3分，格式自拟。 ②在提供承诺函的基础上，根据供应商提供的保密措施内容是否全面完善、考虑周全、切实可行，是否完全满足采购人实际需求等角度考量，方案齐全且满足项目实际需求的得3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根据供应商提供拟投入本项目的设备配置情况（包含但不限于①专业工具；②基础设备；③作业中所需耗材配备清单）进行评审：</w:t>
            </w:r>
          </w:p>
        </w:tc>
        <w:tc>
          <w:tcPr>
            <w:tcW w:type="dxa" w:w="2492"/>
          </w:tcPr>
          <w:p>
            <w:pPr>
              <w:pStyle w:val="null3"/>
            </w:pPr>
            <w:r>
              <w:rPr>
                <w:rFonts w:ascii="仿宋_GB2312" w:hAnsi="仿宋_GB2312" w:cs="仿宋_GB2312" w:eastAsia="仿宋_GB2312"/>
              </w:rPr>
              <w:t>根据供应商提供的设备配置情况的完整性、准确性以及是否满足项目所需等角度考量，最高得6分，每缺少一个大项，扣2分，扣完为止；若上述内容存在缺陷，每出现一处缺陷扣1分，扣完为止。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根据供应商提供针对本项目的服务质量承诺（包含①.处理问题的响应时间承诺；②.协助采购人开展后续相关服务工作承诺；③.进度计划跟进承诺等）进行评审：</w:t>
            </w:r>
          </w:p>
        </w:tc>
        <w:tc>
          <w:tcPr>
            <w:tcW w:type="dxa" w:w="2492"/>
          </w:tcPr>
          <w:p>
            <w:pPr>
              <w:pStyle w:val="null3"/>
            </w:pPr>
            <w:r>
              <w:rPr>
                <w:rFonts w:ascii="仿宋_GB2312" w:hAnsi="仿宋_GB2312" w:cs="仿宋_GB2312" w:eastAsia="仿宋_GB2312"/>
              </w:rPr>
              <w:t>①提供承诺函得2分，格式自拟。②在提供承诺函的基础上，根据供应商提供的服务质量承诺内容是否全面完善、考虑周全、切实可行，是否完全满足采购人实际需求等角度考量，方案齐全且满足项目实际需求的得6分，每有一项内容缺失的扣2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磋商报价采用低价优先法计算，即满足竞争性磋商文件要求且最后磋商总报价最低的报价为评审基准价，其价格分为满分。其他供应商的价格分统一按照下列公式计算： 磋商报价得分=（评审基准价/最后磋商总报价）×10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自2023年04月至2026年04月）同类型项目合同案例是以提供的供应商自身合同为准，要求必须提供与最终用户签订的合同首页、合同金额所在页、签字盖章页作为证明。每提供一个有效的合同案例的得2分，满分4分，未提供的不得分。 注：1）成功案例业绩证明材料指供应商签订的合同，至少包含合同首页、签字盖章页、合同金额所在页，须加盖供应商公章。 2）本款可作为得分的合同案例仅指供应商自身的合同案例。即合同案例中的乙方必须与供应商的名称完全一致。 3）完成的类似项目合同案例指包含的项目案例。 4）证明材料不完整或不符合以上内容要求或不清晰，导致无法判断是否符合以上要求的，不得分。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类似业绩.docx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项目组人员配备情况</w:t>
            </w:r>
          </w:p>
        </w:tc>
        <w:tc>
          <w:tcPr>
            <w:tcW w:type="dxa" w:w="2492"/>
          </w:tcPr>
          <w:p>
            <w:pPr>
              <w:pStyle w:val="null3"/>
            </w:pPr>
            <w:r>
              <w:rPr>
                <w:rFonts w:ascii="仿宋_GB2312" w:hAnsi="仿宋_GB2312" w:cs="仿宋_GB2312" w:eastAsia="仿宋_GB2312"/>
              </w:rPr>
              <w:t>每有一名具有规划类、测绘类等相关专业中级及以上职称证书的，每提供一个得3分（专业相同的不累计计分），本项满分6分。（项目组其他成员不在参与拟任项目负责人及项目组主要成员得分计算）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拟任项目负责人</w:t>
            </w:r>
          </w:p>
        </w:tc>
        <w:tc>
          <w:tcPr>
            <w:tcW w:type="dxa" w:w="2492"/>
          </w:tcPr>
          <w:p>
            <w:pPr>
              <w:pStyle w:val="null3"/>
            </w:pPr>
            <w:r>
              <w:rPr>
                <w:rFonts w:ascii="仿宋_GB2312" w:hAnsi="仿宋_GB2312" w:cs="仿宋_GB2312" w:eastAsia="仿宋_GB2312"/>
              </w:rPr>
              <w:t>具有测绘等相关专业高级及以上职称的得3分，本项满分3分。（拟任项目负责人不在参与项目组主要成员及其他成员得分计算）</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项目进度及响应</w:t>
            </w:r>
          </w:p>
        </w:tc>
        <w:tc>
          <w:tcPr>
            <w:tcW w:type="dxa" w:w="2492"/>
          </w:tcPr>
          <w:p>
            <w:pPr>
              <w:pStyle w:val="null3"/>
            </w:pPr>
            <w:r>
              <w:rPr>
                <w:rFonts w:ascii="仿宋_GB2312" w:hAnsi="仿宋_GB2312" w:cs="仿宋_GB2312" w:eastAsia="仿宋_GB2312"/>
              </w:rPr>
              <w:t>针对供应商提供的进度方案进行评审，进度保证措施应包括但不仅限于整体工作进度安排、各环节进度 控制、保证体系等内容。内容齐全且每项内容无缺陷得12分。每缺少一项扣4分，某项有内容但该项内 容有缺陷扣1分/项。 注:“缺陷”是指存在以下任一情形:①方案内容与本项目无关:②不适用或不满足本项 目需求:③方案内容存在歧义或内容错误:④内容仅有标题或框架。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针对本项目的服务方 案</w:t>
            </w:r>
          </w:p>
        </w:tc>
        <w:tc>
          <w:tcPr>
            <w:tcW w:type="dxa" w:w="2492"/>
          </w:tcPr>
          <w:p>
            <w:pPr>
              <w:pStyle w:val="null3"/>
            </w:pPr>
            <w:r>
              <w:rPr>
                <w:rFonts w:ascii="仿宋_GB2312" w:hAnsi="仿宋_GB2312" w:cs="仿宋_GB2312" w:eastAsia="仿宋_GB2312"/>
              </w:rPr>
              <w:t>供应商针对本项目的现状和实际需求，制定详细具体、完整实用、科学合理的服务方案，包括但不仅限 于服务目标、服务标准、工作流程、工作计划、主要工作内容等。内容齐全且每项内容无缺陷得20分。 每缺少一项扣4分，某项有内容但该项内容有缺陷扣1分/项。 注:“缺陷”是指存在以下任一情形:①方案 内容与本项目无关:②不适用或不满足本项目需求:③方案内容存在歧义或内容错误:④内容仅有标题或框架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提供完整可行的保证措施，包括但不仅限于质量目标、质量标准、质量检查、质量考核、各环节质量控 制体系等内容。内容齐全且每项内容无缺陷得10分。每缺少一项扣2分，某项有内容但该项内容有缺陷 扣0.5分/项。 注:“缺陷”是指存在以下任一情形:①方案内容与本项目无关:②不适用或不满足本项目需求 :③方案内容存在歧义或内容错误:④内容仅有标题或框架。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服务工作重点、难点 分析</w:t>
            </w:r>
          </w:p>
        </w:tc>
        <w:tc>
          <w:tcPr>
            <w:tcW w:type="dxa" w:w="2492"/>
          </w:tcPr>
          <w:p>
            <w:pPr>
              <w:pStyle w:val="null3"/>
            </w:pPr>
            <w:r>
              <w:rPr>
                <w:rFonts w:ascii="仿宋_GB2312" w:hAnsi="仿宋_GB2312" w:cs="仿宋_GB2312" w:eastAsia="仿宋_GB2312"/>
              </w:rPr>
              <w:t>磋商小组根据供应商提供的服务工作重点分析、难点分析、合理化建议进行综合评审。内容齐全且每项 内容无缺陷得12分。每缺少一项扣4分，某项有内容但该项内容有缺陷扣1.5分/项。 注:“缺陷”是指存 在以下任一情形:①方案内容与本项目无关:②不适用或不满足本项目需求:③方案内容存在歧义或内容错误 :④内容仅有标题或框架。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风险应急方案</w:t>
            </w:r>
          </w:p>
        </w:tc>
        <w:tc>
          <w:tcPr>
            <w:tcW w:type="dxa" w:w="2492"/>
          </w:tcPr>
          <w:p>
            <w:pPr>
              <w:pStyle w:val="null3"/>
            </w:pPr>
            <w:r>
              <w:rPr>
                <w:rFonts w:ascii="仿宋_GB2312" w:hAnsi="仿宋_GB2312" w:cs="仿宋_GB2312" w:eastAsia="仿宋_GB2312"/>
              </w:rPr>
              <w:t>磋商小组对各供应商针对本项目风险应急方案进行打分。包括应急预案及关键环节表述、应急人员组成 及技术支持等内容。内容齐全且每项内容无缺陷得8分。每缺少一项扣4分，某项有内容但该项内容有缺陷扣1分/项。 注:“缺陷”是指存在以下任一情形:①方案内容与本项目无关:②不适用或不满足本项目需求:③方案内容存在歧义或内容错误:④内容仅有标题或框架。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服务团队组织架构</w:t>
            </w:r>
          </w:p>
        </w:tc>
        <w:tc>
          <w:tcPr>
            <w:tcW w:type="dxa" w:w="2492"/>
          </w:tcPr>
          <w:p>
            <w:pPr>
              <w:pStyle w:val="null3"/>
            </w:pPr>
            <w:r>
              <w:rPr>
                <w:rFonts w:ascii="仿宋_GB2312" w:hAnsi="仿宋_GB2312" w:cs="仿宋_GB2312" w:eastAsia="仿宋_GB2312"/>
              </w:rPr>
              <w:t>拟担任本项目负责人及项目组实施人员专业素质、技术能力、专业分布、经验、岗位职责等情况，内容 齐全且每项内容无缺陷得10分。每缺少一项扣2分，某项有内容但该项内容有缺陷扣0.5分/项。 注:“缺 陷”是指存在以下任一情形:①方案内容与本项目无关:②不适用或不满足本项目需求:③方案内容存在歧义 或内容错误:④内容仅有标题或框架。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满足磋商文件要求且磋商价格最低的磋商报价为评标基准价，其价格分为满分15分。其他供应商的价格分统一按照下列公式计算： 磋商报价得分=（评标基准价／磋商报价）×15%×100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详见附件：保证金格式.docx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详见附件：保证金格式.docx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