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版本号：SDZC2026-04120260429001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江口镇小型运动公园配套设施建设项目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SDZC2026-041</w:t>
      </w:r>
      <w:r>
        <w:br/>
      </w:r>
      <w:r>
        <w:br/>
      </w:r>
      <w:r>
        <w:br/>
      </w:r>
    </w:p>
    <w:p>
      <w:pPr>
        <w:pStyle w:val="null3"/>
        <w:jc w:val="center"/>
        <w:outlineLvl w:val="2"/>
      </w:pPr>
      <w:r>
        <w:rPr>
          <w:rFonts w:ascii="仿宋_GB2312" w:hAnsi="仿宋_GB2312" w:cs="仿宋_GB2312" w:eastAsia="仿宋_GB2312"/>
          <w:sz w:val="28"/>
          <w:b/>
        </w:rPr>
        <w:t>留坝县江口镇人民政府</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留坝县江口镇人民政府</w:t>
      </w:r>
      <w:r>
        <w:rPr>
          <w:rFonts w:ascii="仿宋_GB2312" w:hAnsi="仿宋_GB2312" w:cs="仿宋_GB2312" w:eastAsia="仿宋_GB2312"/>
        </w:rPr>
        <w:t>委托，拟对</w:t>
      </w:r>
      <w:r>
        <w:rPr>
          <w:rFonts w:ascii="仿宋_GB2312" w:hAnsi="仿宋_GB2312" w:cs="仿宋_GB2312" w:eastAsia="仿宋_GB2312"/>
        </w:rPr>
        <w:t>江口镇小型运动公园配套设施建设项目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江口镇小型运动公园配套设施建设项目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江口镇小型运动公园配套设施建设项目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采购包1（江口镇小型运动公园配套设施建设项目）：属于专门面向中小企业采购。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号）文件要求，提供汉中市政府采购供应商资格承诺函。</w:t>
      </w:r>
    </w:p>
    <w:p>
      <w:pPr>
        <w:pStyle w:val="null3"/>
      </w:pPr>
      <w:r>
        <w:rPr>
          <w:rFonts w:ascii="仿宋_GB2312" w:hAnsi="仿宋_GB2312" w:cs="仿宋_GB2312" w:eastAsia="仿宋_GB2312"/>
        </w:rPr>
        <w:t>3、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4、企业资质：具备建设行政主管部门颁发的市政公用工程施工总承包三级（含三级）以上资质, 同时具有合格有效的安全生产许可证；</w:t>
      </w:r>
    </w:p>
    <w:p>
      <w:pPr>
        <w:pStyle w:val="null3"/>
      </w:pPr>
      <w:r>
        <w:rPr>
          <w:rFonts w:ascii="仿宋_GB2312" w:hAnsi="仿宋_GB2312" w:cs="仿宋_GB2312" w:eastAsia="仿宋_GB2312"/>
        </w:rPr>
        <w:t>5、项目经理资质要求：拟派项目经理须具备市政公用工程专业二级或以上注册建造师资质并具有有效的安全生产考核合格证（B证），在本单位注册且无在建工程、无不良记录；（提供无在建工程、无不良记录承诺书）</w:t>
      </w:r>
    </w:p>
    <w:p>
      <w:pPr>
        <w:pStyle w:val="null3"/>
      </w:pPr>
      <w:r>
        <w:rPr>
          <w:rFonts w:ascii="仿宋_GB2312" w:hAnsi="仿宋_GB2312" w:cs="仿宋_GB2312" w:eastAsia="仿宋_GB2312"/>
        </w:rPr>
        <w:t>6、控股关系：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留坝县江口镇人民政府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留坝县江口镇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09163988271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029-86673953、86518381、89299829、89293231转808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采购包1保证金金额：24,800.00元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银行账号：707011510000013522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2、汇款账户：1.开户行名称：陕西上德招标有限公司 2.开 户 行：西安银行股份有限公司文景路支行 3.账 号：707011510000013522 财务部联系方式：029-86673953、029-86518381、029-89299829、029-89293231 转813 备注：供应商在汇款（招标代理服务费）时须注明项目编号+项目简称</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留坝县江口镇人民政府</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留坝县江口镇人民政府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留坝县江口镇人民政府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联系电话：029-86673953、029-86518381、029-89299829、029-89293231转808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1,240,000.00</w:t>
      </w:r>
    </w:p>
    <w:p>
      <w:pPr>
        <w:pStyle w:val="null3"/>
      </w:pPr>
      <w:r>
        <w:rPr>
          <w:rFonts w:ascii="仿宋_GB2312" w:hAnsi="仿宋_GB2312" w:cs="仿宋_GB2312" w:eastAsia="仿宋_GB2312"/>
        </w:rPr>
        <w:t>采购包最高限价（元）: 1,201,715.88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1240000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标的名称：1240000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照国家及汉中市现行施工规程、规范和标准，符合《建筑工程施工质量统一验收标准》（GB50300-2013）等现行相关标准合格等级。确保整体工程、各专业工程和分部工程均达到合格标准。1.项目在竣工后，成交人应向采购人提交工程竣工报告，申请工程竣工验收，并将施工过程中相关资料提交采购人。2.验收标准按照国家、行业有关规范和要求执行。3.成交人承诺完全达到国家有关部门验收标准，并全部通过验收为交付使用的基本条件，验收过程中的一切费用由成交供应商承担。4.验收依据 4.1合同文本及合同补充文件（条款）。4.2磋商文件。4.3磋商响应文件。4.4工程量清单。4.5建筑工程施工质量验收统一标准。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自合同签订后60个日历日内施工完毕。2、运输、施工：成交人负责材料的运输、施工及其他伴随服务。3、付款条件说明：3.1合同签订后，达到付款条件起30日内，支付合同总金额的40.00%。3.2竣工验收合格后，达到付款条件起30日内，支付合同总金额的 50.00%。3.3结算审计后，达到付款条件起30日内，支付合同总金额的7.00%。3.4 缺陷责任期满后结清，达到付款条件起30日内，支付合同总金额的3.00%。4、施工要求：4.1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4.2成交人应配合项目建设进度,向采购人提供施工组织计划、进度计划和施工作业计划，并签订施工安全责任书。4.3采购人只提供电源、水源。成交人在施工期间不得破坏原有建筑。5、质量保证：5.1质量保修期符合国家标准要求。成交人承诺的质量保修期起始时间为终验合格之日起。5.2工程质量等级达到合格或以上标准。5.3成交人应遵照国家规范规定的建筑工程施工质量标准及要求作出明确承诺。5.4在质量保证期内，成交人应具有良好、迅速的售后服务能力。6、磋商响应文件中提供的资质证书等材料在合同签订及履行期间持续有效，否则采购人有权终止合同并要求赔偿。7、合同实施：7.1成交人应在合同签订后，7个日历日内安排人员（项目组成人员简历表所列）就施工工作等进行安排、部署。7.2若因成交人原因未能在规定工期内完成合同规定的义务，由此对采购人造成的延误和一切损失，由成交人承担和赔偿。8、违约责任：8.1按《中华人民共和国民法典》中的相关条款执行；8.2未按合同要求提供工程质量或工程质量不能满足技术要求，采购人有权终止合同，并对供方违约行为进行追究，同时按《中华人民共和国政府采购法》的有关规定进行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成交人在领取成交通知书时提供一正两副纸质竞争性磋商响应文件。装订：纸质竞争性磋商响应文件采用书籍（胶装）方式装订成册，与电子版文件一致的签字、盖章的完整版本。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号）文件要求，提供资格承诺函。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号）文件要求，提供汉中市政府采购供应商资格承诺函。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具备建设行政主管部门颁发的市政公用工程施工总承包三级（含三级）以上资质, 同时具有合格有效的安全生产许可证；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拟派项目经理须具备市政公用工程专业二级或以上注册建造师资质并具有有效的安全生产考核合格证（B证），在本单位注册且无在建工程、无不良记录；（提供无在建工程、无不良记录承诺书）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3.根据《关于推动解决政府采购异常低价问题的通知》（财库〔2026〕2号）规定，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3.3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tc>
        <w:tc>
          <w:tcPr>
            <w:tcW w:type="dxa" w:w="1661"/>
          </w:tcPr>
          <w:p>
            <w:pPr>
              <w:pStyle w:val="null3"/>
            </w:pPr>
            <w:r>
              <w:rPr>
                <w:rFonts w:ascii="仿宋_GB2312" w:hAnsi="仿宋_GB2312" w:cs="仿宋_GB2312" w:eastAsia="仿宋_GB2312"/>
              </w:rPr>
              <w:t>报价函 标的清单 工程量清单计价表.docx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投标保证金或投标担保.docx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投标保证金或投标担保.docx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工程量清单计价表.docx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投标保证金缴纳凭证（银行凭证及基本账户证明资料）或担保函（财政部门认可的政府采购信用担保机构出具的担保函）</w:t>
            </w:r>
          </w:p>
        </w:tc>
        <w:tc>
          <w:tcPr>
            <w:tcW w:type="dxa" w:w="1661"/>
          </w:tcPr>
          <w:p>
            <w:pPr>
              <w:pStyle w:val="null3"/>
            </w:pPr>
            <w:r>
              <w:rPr>
                <w:rFonts w:ascii="仿宋_GB2312" w:hAnsi="仿宋_GB2312" w:cs="仿宋_GB2312" w:eastAsia="仿宋_GB2312"/>
              </w:rPr>
              <w:t>投标保证金或投标担保.docx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投标保证金或投标担保.docx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投标保证金或投标担保.docx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供应商针对本项目编制完善的工程质量技术组织措施，内容包含但不限于：①质量目标管理体系、②施工质量的检验制度、③确保质量的技术组织措施、④材料储存方案。 评审标准： 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①安全文明施工目标及施工现场的临时管理措施、②文明施工保障措施、③环境保护管理体系及环保控制措施、④污染物及废弃物处理的排放、噪音控制及防尘及扬尘的控制措施。 评审标准 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供应商针对本项目编制完善的安全生产的技术组织措施，内容包含但不限于：①安全管理体系、②安全责任归属划分、③安全标识（安全警戒标语、施工人员安全警示服和安全帽穿配要求、安全教育培训）。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供应商针对本项目编制完善的工期的技术组织措施，内容包含但不限于：①施工组织与工期保证措施、②特殊情况保证（夜间、雨季、高温）。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供应商针对本项目编制完善的施工方案，内容包含但不限于：①具体施工内容、②施工次序、③施工方法（工艺）、④成品保护措施。 评审标准 上述4项内容无缺项、无缺陷的得10分，每缺少一项扣2.5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供应商针对本项目编制完善的施工机械及材料投入计划，内容包含但不限于：①拟投入的主要施工机械设备计划、②主要材料进场计划。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供应商针对本项目编制完善的施工进度网络图或施工进度表，内容包含但不限于：①施工总进度、②施工进度目标和施工总进度计划表/图、③施工进度保障措施。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供应商针对本项目编制完善的劳动力安排计划及劳务分包情况，内容包含但不限于：①劳动力投入计划②劳动力保障措施。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供应商针对本项目编制完善的项目经理部组织机构，内容包含但不限于：①项目成员配置清单及架构、②项目组配备人员的专业素质、③人员结构、④项目成员的主要职责及工作内容。 评审标准 上述4项内容无缺项、无缺陷的得6分，每缺少一项扣1.5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以合同形式提供供应商2022年01月至今类似项目业绩，每份计2分，计满6分为止。（以合同签订时间为准，附合同复印件）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供应商针对本项目编制完善的服务承诺，内容包含但不限于：①对招标文件和合同条款的响应承诺、②针对本项目实际需求提供实质性服务承诺及保障措施、③针对本项目的施工验收后期的质保承诺。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详见附件：竞争性磋商文件及合同条款的承诺.docx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详见附件：投标保证金或投标担保.docx</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