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版本号：KCZC-2025-04020251218001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佛坪县永久基本农田核实及储备区划定项目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KCZC-2025-040</w:t>
      </w:r>
      <w:r>
        <w:br/>
      </w:r>
      <w:r>
        <w:br/>
      </w:r>
      <w:r>
        <w:br/>
      </w:r>
    </w:p>
    <w:p>
      <w:pPr>
        <w:pStyle w:val="null3"/>
        <w:jc w:val="center"/>
        <w:outlineLvl w:val="2"/>
      </w:pPr>
      <w:r>
        <w:rPr>
          <w:rFonts w:ascii="仿宋_GB2312" w:hAnsi="仿宋_GB2312" w:cs="仿宋_GB2312" w:eastAsia="仿宋_GB2312"/>
          <w:sz w:val="28"/>
          <w:b/>
        </w:rPr>
        <w:t>佛坪县自然资源局（县不动产登记局）</w:t>
      </w:r>
    </w:p>
    <w:p>
      <w:pPr>
        <w:pStyle w:val="null3"/>
        <w:jc w:val="center"/>
        <w:outlineLvl w:val="2"/>
      </w:pPr>
      <w:r>
        <w:rPr>
          <w:rFonts w:ascii="仿宋_GB2312" w:hAnsi="仿宋_GB2312" w:cs="仿宋_GB2312" w:eastAsia="仿宋_GB2312"/>
          <w:sz w:val="28"/>
          <w:b/>
        </w:rPr>
        <w:t>康诚建设有限公司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康诚建设有限公司</w:t>
      </w:r>
      <w:r>
        <w:rPr>
          <w:rFonts w:ascii="仿宋_GB2312" w:hAnsi="仿宋_GB2312" w:cs="仿宋_GB2312" w:eastAsia="仿宋_GB2312"/>
        </w:rPr>
        <w:t>（以下简称“代理机构”）受</w:t>
      </w:r>
      <w:r>
        <w:rPr>
          <w:rFonts w:ascii="仿宋_GB2312" w:hAnsi="仿宋_GB2312" w:cs="仿宋_GB2312" w:eastAsia="仿宋_GB2312"/>
        </w:rPr>
        <w:t>佛坪县自然资源局（县不动产登记局）</w:t>
      </w:r>
      <w:r>
        <w:rPr>
          <w:rFonts w:ascii="仿宋_GB2312" w:hAnsi="仿宋_GB2312" w:cs="仿宋_GB2312" w:eastAsia="仿宋_GB2312"/>
        </w:rPr>
        <w:t>委托，拟对</w:t>
      </w:r>
      <w:r>
        <w:rPr>
          <w:rFonts w:ascii="仿宋_GB2312" w:hAnsi="仿宋_GB2312" w:cs="仿宋_GB2312" w:eastAsia="仿宋_GB2312"/>
        </w:rPr>
        <w:t>佛坪县永久基本农田核实及储备区划定项目</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KCZC-2025-040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佛坪县永久基本农田核实及储备区划定项目</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严格遵照省级永久基本农田储备区划定技术方案的标准要求，针对佛坪县划入储备区的图斑，开展潜力资源调查分析与实地核查确认工作，建立规范完整的永久基本农田储备库数据库，编制形成符合划定规程的工作报告及统计报表。</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p>
      <w:pPr>
        <w:pStyle w:val="null3"/>
      </w:pPr>
      <w:r>
        <w:rPr>
          <w:rFonts w:ascii="仿宋_GB2312" w:hAnsi="仿宋_GB2312" w:cs="仿宋_GB2312" w:eastAsia="仿宋_GB2312"/>
        </w:rPr>
        <w:t>2、法定代表人身份证明或法定代表人授权书：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p>
      <w:pPr>
        <w:pStyle w:val="null3"/>
      </w:pPr>
      <w:r>
        <w:rPr>
          <w:rFonts w:ascii="仿宋_GB2312" w:hAnsi="仿宋_GB2312" w:cs="仿宋_GB2312" w:eastAsia="仿宋_GB2312"/>
        </w:rPr>
        <w:t>3、资质证书：供应商具备测绘乙级及以上资质</w:t>
      </w:r>
    </w:p>
    <w:p>
      <w:pPr>
        <w:pStyle w:val="null3"/>
      </w:pPr>
      <w:r>
        <w:rPr>
          <w:rFonts w:ascii="仿宋_GB2312" w:hAnsi="仿宋_GB2312" w:cs="仿宋_GB2312" w:eastAsia="仿宋_GB2312"/>
        </w:rPr>
        <w:t>4、供应商资格承诺：供应商应具有健全的财务会计制度、履行合同所需的设备和专业技术能力、依法缴纳税收和社会保障资金，以及参加本项目采购活动(以开启时间为准)前3年内经营活动无重大违法记录，供应商应按照汉中市财政局《关于全面推行政府采购供应商基本资格条件承诺制的通知》（汉采办采管〔2024〕20号）文件要求，供应商提供《汉中市政府采购供应商资格承诺函》，供应商需在项目电子化交易系统中按要求上传相应证明文件并进行电子签章</w:t>
      </w:r>
    </w:p>
    <w:p>
      <w:pPr>
        <w:pStyle w:val="null3"/>
      </w:pPr>
      <w:r>
        <w:rPr>
          <w:rFonts w:ascii="仿宋_GB2312" w:hAnsi="仿宋_GB2312" w:cs="仿宋_GB2312" w:eastAsia="仿宋_GB2312"/>
        </w:rPr>
        <w:t>5、不接受联合体：本项目不接受联合体；供应商需在项目电子化交易系统中按要求上传相应证明文件并进行电子签章</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佛坪县自然资源局（县不动产登记局）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佛坪县振兴北路33号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723400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佛坪县国土资源局（县不动产登记局）经办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13571620101</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康诚建设有限公司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陕西省汉中市汉台区陕西省汉中市汉台区东关街道办事处东一环路盛世国际2号楼写字楼20层2005室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723000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0916-8227772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佛坪县政府采购管理股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肖慧</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0916-8913691</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采购包1：360,000.00元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代理服务费收费标准：招标代理服务费的金额按《国家发展改革委关于降低部分建设项目收费标准规范收费行为等有关问题的通知》(发改价格〔2011〕534号)规定计取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佛坪县自然资源局（县不动产登记局）</w:t>
      </w:r>
      <w:r>
        <w:rPr>
          <w:rFonts w:ascii="仿宋_GB2312" w:hAnsi="仿宋_GB2312" w:cs="仿宋_GB2312" w:eastAsia="仿宋_GB2312"/>
        </w:rPr>
        <w:t>和</w:t>
      </w:r>
      <w:r>
        <w:rPr>
          <w:rFonts w:ascii="仿宋_GB2312" w:hAnsi="仿宋_GB2312" w:cs="仿宋_GB2312" w:eastAsia="仿宋_GB2312"/>
        </w:rPr>
        <w:t>康诚建设有限公司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佛坪县自然资源局（县不动产登记局）</w:t>
      </w:r>
      <w:r>
        <w:rPr>
          <w:rFonts w:ascii="仿宋_GB2312" w:hAnsi="仿宋_GB2312" w:cs="仿宋_GB2312" w:eastAsia="仿宋_GB2312"/>
        </w:rPr>
        <w:t>负责解释。除上述磋商文件内容，其他内容由</w:t>
      </w:r>
      <w:r>
        <w:rPr>
          <w:rFonts w:ascii="仿宋_GB2312" w:hAnsi="仿宋_GB2312" w:cs="仿宋_GB2312" w:eastAsia="仿宋_GB2312"/>
        </w:rPr>
        <w:t>康诚建设有限公司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佛坪县自然资源局（县不动产登记局）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康诚建设有限公司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康诚建设有限公司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康诚建设有限公司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联系人：陈女士</w:t>
      </w:r>
    </w:p>
    <w:p>
      <w:pPr>
        <w:pStyle w:val="null3"/>
      </w:pPr>
      <w:r>
        <w:rPr>
          <w:rFonts w:ascii="仿宋_GB2312" w:hAnsi="仿宋_GB2312" w:cs="仿宋_GB2312" w:eastAsia="仿宋_GB2312"/>
        </w:rPr>
        <w:t>联系电话：19890961237</w:t>
      </w:r>
    </w:p>
    <w:p>
      <w:pPr>
        <w:pStyle w:val="null3"/>
      </w:pPr>
      <w:r>
        <w:rPr>
          <w:rFonts w:ascii="仿宋_GB2312" w:hAnsi="仿宋_GB2312" w:cs="仿宋_GB2312" w:eastAsia="仿宋_GB2312"/>
        </w:rPr>
        <w:t>地址：陕西省汉中市洋县南环路与真符路十字向南200米太阳谷.康郡（东大门）康诚建设有限公司（一楼代理部）</w:t>
      </w:r>
    </w:p>
    <w:p>
      <w:pPr>
        <w:pStyle w:val="null3"/>
      </w:pPr>
      <w:r>
        <w:rPr>
          <w:rFonts w:ascii="仿宋_GB2312" w:hAnsi="仿宋_GB2312" w:cs="仿宋_GB2312" w:eastAsia="仿宋_GB2312"/>
        </w:rPr>
        <w:t>邮编：723300</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严格遵照省级永久基本农田储备区划定技术方案的标准要求，针对佛坪县划入储备区的图斑，开展潜力资源调查分析与实地核查确认工作，建立规范完整的永久基本农田储备库数据库，编制形成符合划定规程的工作报告及统计报表。</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360,000.00</w:t>
      </w:r>
    </w:p>
    <w:p>
      <w:pPr>
        <w:pStyle w:val="null3"/>
      </w:pPr>
      <w:r>
        <w:rPr>
          <w:rFonts w:ascii="仿宋_GB2312" w:hAnsi="仿宋_GB2312" w:cs="仿宋_GB2312" w:eastAsia="仿宋_GB2312"/>
        </w:rPr>
        <w:t>采购包最高限价（元）: 360,000.00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佛坪县永久基本农田核实及储备区划定项目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360,000.00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标的名称：佛坪县永久基本农田核实及储备区划定项目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sz w:val="24"/>
                <w:color w:val="000000"/>
              </w:rPr>
              <w:t>商务条款：</w:t>
            </w:r>
          </w:p>
          <w:p>
            <w:pPr>
              <w:pStyle w:val="null3"/>
              <w:jc w:val="both"/>
            </w:pPr>
            <w:r>
              <w:rPr>
                <w:rFonts w:ascii="仿宋_GB2312" w:hAnsi="仿宋_GB2312" w:cs="仿宋_GB2312" w:eastAsia="仿宋_GB2312"/>
                <w:sz w:val="24"/>
                <w:color w:val="000000"/>
              </w:rPr>
              <w:t>1、</w:t>
            </w:r>
            <w:r>
              <w:rPr>
                <w:rFonts w:ascii="仿宋_GB2312" w:hAnsi="仿宋_GB2312" w:cs="仿宋_GB2312" w:eastAsia="仿宋_GB2312"/>
                <w:sz w:val="24"/>
                <w:color w:val="000000"/>
              </w:rPr>
              <w:t>服务期限：自合同签订之日起</w:t>
            </w:r>
            <w:r>
              <w:rPr>
                <w:rFonts w:ascii="仿宋_GB2312" w:hAnsi="仿宋_GB2312" w:cs="仿宋_GB2312" w:eastAsia="仿宋_GB2312"/>
                <w:sz w:val="24"/>
                <w:color w:val="000000"/>
              </w:rPr>
              <w:t>3个月</w:t>
            </w:r>
            <w:r>
              <w:rPr>
                <w:rFonts w:ascii="仿宋_GB2312" w:hAnsi="仿宋_GB2312" w:cs="仿宋_GB2312" w:eastAsia="仿宋_GB2312"/>
                <w:sz w:val="24"/>
                <w:color w:val="000000"/>
              </w:rPr>
              <w:t>（具体以合同约定为准）</w:t>
            </w:r>
          </w:p>
          <w:p>
            <w:pPr>
              <w:pStyle w:val="null3"/>
              <w:jc w:val="both"/>
            </w:pPr>
            <w:r>
              <w:rPr>
                <w:rFonts w:ascii="仿宋_GB2312" w:hAnsi="仿宋_GB2312" w:cs="仿宋_GB2312" w:eastAsia="仿宋_GB2312"/>
                <w:sz w:val="24"/>
                <w:color w:val="000000"/>
              </w:rPr>
              <w:t>2、</w:t>
            </w:r>
            <w:r>
              <w:rPr>
                <w:rFonts w:ascii="仿宋_GB2312" w:hAnsi="仿宋_GB2312" w:cs="仿宋_GB2312" w:eastAsia="仿宋_GB2312"/>
                <w:sz w:val="24"/>
                <w:color w:val="000000"/>
              </w:rPr>
              <w:t>验收、交付标准和方法：根据服务内容及要求并提交相关成果资料，经县、市、省级主管部门、国家核查合格后即为验收通过</w:t>
            </w:r>
            <w:r>
              <w:rPr>
                <w:rFonts w:ascii="仿宋_GB2312" w:hAnsi="仿宋_GB2312" w:cs="仿宋_GB2312" w:eastAsia="仿宋_GB2312"/>
                <w:sz w:val="24"/>
                <w:color w:val="000000"/>
              </w:rPr>
              <w:t>。</w:t>
            </w:r>
          </w:p>
          <w:p>
            <w:pPr>
              <w:pStyle w:val="null3"/>
              <w:jc w:val="both"/>
            </w:pPr>
            <w:r>
              <w:rPr>
                <w:rFonts w:ascii="仿宋_GB2312" w:hAnsi="仿宋_GB2312" w:cs="仿宋_GB2312" w:eastAsia="仿宋_GB2312"/>
                <w:sz w:val="24"/>
                <w:color w:val="000000"/>
              </w:rPr>
              <w:t>3、</w:t>
            </w:r>
            <w:r>
              <w:rPr>
                <w:rFonts w:ascii="仿宋_GB2312" w:hAnsi="仿宋_GB2312" w:cs="仿宋_GB2312" w:eastAsia="仿宋_GB2312"/>
                <w:sz w:val="24"/>
                <w:color w:val="000000"/>
              </w:rPr>
              <w:t>采购内容</w:t>
            </w:r>
            <w:r>
              <w:rPr>
                <w:rFonts w:ascii="仿宋_GB2312" w:hAnsi="仿宋_GB2312" w:cs="仿宋_GB2312" w:eastAsia="仿宋_GB2312"/>
                <w:sz w:val="24"/>
                <w:color w:val="000000"/>
              </w:rPr>
              <w:t>:严格遵照省级永久基本农田储备区划定技术方案的标准要求，针对佛坪县划入储备区的图斑，开展潜力资源调查分析与实地核查确认工作，建立规范完整的永久基本农田储备库数据库，编制形成符合划定规程的工作报告及统计报表。</w:t>
            </w:r>
          </w:p>
          <w:p>
            <w:pPr>
              <w:pStyle w:val="null3"/>
            </w:pPr>
          </w:p>
        </w:tc>
      </w:tr>
      <w:tr>
        <w:tc>
          <w:tcPr>
            <w:tcW w:type="dxa" w:w="2769"/>
          </w:tcPr>
          <w:p>
            <w:pPr>
              <w:pStyle w:val="null3"/>
            </w:pPr>
            <w:r>
              <w:rPr>
                <w:rFonts w:ascii="仿宋_GB2312" w:hAnsi="仿宋_GB2312" w:cs="仿宋_GB2312" w:eastAsia="仿宋_GB2312"/>
              </w:rPr>
              <w:t>2</w:t>
            </w:r>
          </w:p>
        </w:tc>
        <w:tc>
          <w:tcPr>
            <w:tcW w:type="dxa" w:w="2769"/>
          </w:tcPr>
          <w:p>
            <w:pPr>
              <w:pStyle w:val="null3"/>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sz w:val="24"/>
                <w:color w:val="000000"/>
              </w:rPr>
              <w:t>技术条款：</w:t>
            </w:r>
          </w:p>
          <w:p>
            <w:pPr>
              <w:pStyle w:val="null3"/>
              <w:jc w:val="left"/>
            </w:pPr>
            <w:r>
              <w:rPr>
                <w:rFonts w:ascii="仿宋_GB2312" w:hAnsi="仿宋_GB2312" w:cs="仿宋_GB2312" w:eastAsia="仿宋_GB2312"/>
                <w:sz w:val="24"/>
                <w:color w:val="000000"/>
              </w:rPr>
              <w:t>1、工作依据</w:t>
            </w:r>
          </w:p>
          <w:p>
            <w:pPr>
              <w:pStyle w:val="null3"/>
              <w:jc w:val="left"/>
            </w:pPr>
            <w:r>
              <w:rPr>
                <w:rFonts w:ascii="仿宋_GB2312" w:hAnsi="仿宋_GB2312" w:cs="仿宋_GB2312" w:eastAsia="仿宋_GB2312"/>
                <w:sz w:val="24"/>
                <w:color w:val="000000"/>
              </w:rPr>
              <w:t>①《永久基本农田保护红线管理办法》(征求意见稿 );</w:t>
            </w:r>
          </w:p>
          <w:p>
            <w:pPr>
              <w:pStyle w:val="null3"/>
              <w:jc w:val="left"/>
            </w:pPr>
            <w:r>
              <w:rPr>
                <w:rFonts w:ascii="仿宋_GB2312" w:hAnsi="仿宋_GB2312" w:cs="仿宋_GB2312" w:eastAsia="仿宋_GB2312"/>
                <w:sz w:val="24"/>
                <w:color w:val="000000"/>
              </w:rPr>
              <w:t>②《自然资源部办公厅关于严肃开展耕地和永久基本农田划定成果核实处置工作的通知》(自然资办发</w:t>
            </w:r>
            <w:r>
              <w:rPr>
                <w:rFonts w:ascii="仿宋_GB2312" w:hAnsi="仿宋_GB2312" w:cs="仿宋_GB2312" w:eastAsia="仿宋_GB2312"/>
                <w:sz w:val="24"/>
                <w:color w:val="000000"/>
              </w:rPr>
              <w:t>[2023]</w:t>
            </w:r>
            <w:r>
              <w:rPr>
                <w:rFonts w:ascii="仿宋_GB2312" w:hAnsi="仿宋_GB2312" w:cs="仿宋_GB2312" w:eastAsia="仿宋_GB2312"/>
                <w:sz w:val="24"/>
                <w:color w:val="000000"/>
              </w:rPr>
              <w:t>25号 );</w:t>
            </w:r>
          </w:p>
          <w:p>
            <w:pPr>
              <w:pStyle w:val="null3"/>
              <w:jc w:val="left"/>
            </w:pPr>
            <w:r>
              <w:rPr>
                <w:rFonts w:ascii="仿宋_GB2312" w:hAnsi="仿宋_GB2312" w:cs="仿宋_GB2312" w:eastAsia="仿宋_GB2312"/>
                <w:sz w:val="24"/>
                <w:color w:val="000000"/>
              </w:rPr>
              <w:t>③《自然资源部关于在全国开展“三区三线”划定工作的函》 (自然资办函</w:t>
            </w:r>
            <w:r>
              <w:rPr>
                <w:rFonts w:ascii="仿宋_GB2312" w:hAnsi="仿宋_GB2312" w:cs="仿宋_GB2312" w:eastAsia="仿宋_GB2312"/>
                <w:sz w:val="24"/>
                <w:color w:val="000000"/>
              </w:rPr>
              <w:t>[202</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47号);</w:t>
            </w:r>
          </w:p>
          <w:p>
            <w:pPr>
              <w:pStyle w:val="null3"/>
              <w:jc w:val="left"/>
            </w:pPr>
            <w:r>
              <w:rPr>
                <w:rFonts w:ascii="仿宋_GB2312" w:hAnsi="仿宋_GB2312" w:cs="仿宋_GB2312" w:eastAsia="仿宋_GB2312"/>
                <w:sz w:val="24"/>
                <w:color w:val="000000"/>
              </w:rPr>
              <w:t>④《自然资源部办公厅关于印发“三区三线”划定成果数据汇交要求的函》(自然资办函</w:t>
            </w:r>
            <w:r>
              <w:rPr>
                <w:rFonts w:ascii="仿宋_GB2312" w:hAnsi="仿宋_GB2312" w:cs="仿宋_GB2312" w:eastAsia="仿宋_GB2312"/>
                <w:sz w:val="24"/>
                <w:color w:val="000000"/>
              </w:rPr>
              <w:t>[202</w:t>
            </w:r>
            <w:r>
              <w:rPr>
                <w:rFonts w:ascii="仿宋_GB2312" w:hAnsi="仿宋_GB2312" w:cs="仿宋_GB2312" w:eastAsia="仿宋_GB2312"/>
                <w:sz w:val="24"/>
                <w:color w:val="000000"/>
              </w:rPr>
              <w:t>2</w:t>
            </w:r>
            <w:r>
              <w:rPr>
                <w:rFonts w:ascii="仿宋_GB2312" w:hAnsi="仿宋_GB2312" w:cs="仿宋_GB2312" w:eastAsia="仿宋_GB2312"/>
                <w:sz w:val="24"/>
                <w:color w:val="000000"/>
              </w:rPr>
              <w:t>]</w:t>
            </w:r>
            <w:r>
              <w:rPr>
                <w:rFonts w:ascii="仿宋_GB2312" w:hAnsi="仿宋_GB2312" w:cs="仿宋_GB2312" w:eastAsia="仿宋_GB2312"/>
                <w:sz w:val="24"/>
                <w:color w:val="000000"/>
              </w:rPr>
              <w:t>1541号）；</w:t>
            </w:r>
          </w:p>
          <w:p>
            <w:pPr>
              <w:pStyle w:val="null3"/>
              <w:jc w:val="left"/>
            </w:pPr>
            <w:r>
              <w:rPr>
                <w:rFonts w:ascii="仿宋_GB2312" w:hAnsi="仿宋_GB2312" w:cs="仿宋_GB2312" w:eastAsia="仿宋_GB2312"/>
                <w:sz w:val="24"/>
                <w:color w:val="000000"/>
              </w:rPr>
              <w:t>⑤《国土调查数据库标准》 (TD/T10572020);</w:t>
            </w:r>
          </w:p>
          <w:p>
            <w:pPr>
              <w:pStyle w:val="null3"/>
              <w:jc w:val="left"/>
            </w:pPr>
            <w:r>
              <w:rPr>
                <w:rFonts w:ascii="仿宋_GB2312" w:hAnsi="仿宋_GB2312" w:cs="仿宋_GB2312" w:eastAsia="仿宋_GB2312"/>
                <w:sz w:val="24"/>
                <w:color w:val="000000"/>
              </w:rPr>
              <w:t>⑥《耕地质量等级》 (GB/T33469-2016）;</w:t>
            </w:r>
          </w:p>
          <w:p>
            <w:pPr>
              <w:pStyle w:val="null3"/>
              <w:jc w:val="left"/>
            </w:pPr>
            <w:r>
              <w:rPr>
                <w:rFonts w:ascii="仿宋_GB2312" w:hAnsi="仿宋_GB2312" w:cs="仿宋_GB2312" w:eastAsia="仿宋_GB2312"/>
                <w:sz w:val="24"/>
                <w:color w:val="000000"/>
              </w:rPr>
              <w:t>⑦《国土变更调查技术规程》;</w:t>
            </w:r>
          </w:p>
          <w:p>
            <w:pPr>
              <w:pStyle w:val="null3"/>
              <w:jc w:val="left"/>
            </w:pPr>
            <w:r>
              <w:rPr>
                <w:rFonts w:ascii="仿宋_GB2312" w:hAnsi="仿宋_GB2312" w:cs="仿宋_GB2312" w:eastAsia="仿宋_GB2312"/>
                <w:sz w:val="24"/>
                <w:color w:val="000000"/>
              </w:rPr>
              <w:t>⑧其他相关行业标准和文件。</w:t>
            </w:r>
          </w:p>
          <w:p>
            <w:pPr>
              <w:pStyle w:val="null3"/>
              <w:jc w:val="left"/>
            </w:pPr>
            <w:r>
              <w:rPr>
                <w:rFonts w:ascii="仿宋_GB2312" w:hAnsi="仿宋_GB2312" w:cs="仿宋_GB2312" w:eastAsia="仿宋_GB2312"/>
                <w:sz w:val="24"/>
                <w:color w:val="000000"/>
              </w:rPr>
              <w:t>2、技术要求：</w:t>
            </w:r>
          </w:p>
          <w:p>
            <w:pPr>
              <w:pStyle w:val="null3"/>
              <w:jc w:val="left"/>
            </w:pPr>
            <w:r>
              <w:rPr>
                <w:rFonts w:ascii="仿宋_GB2312" w:hAnsi="仿宋_GB2312" w:cs="仿宋_GB2312" w:eastAsia="仿宋_GB2312"/>
                <w:sz w:val="24"/>
                <w:color w:val="000000"/>
              </w:rPr>
              <w:t>①数量要求。原则上不低于县域“三区三线”划定永久基本农田保护目标1%的比例建立储备库。</w:t>
            </w:r>
          </w:p>
          <w:p>
            <w:pPr>
              <w:pStyle w:val="null3"/>
              <w:jc w:val="left"/>
            </w:pPr>
            <w:r>
              <w:rPr>
                <w:rFonts w:ascii="仿宋_GB2312" w:hAnsi="仿宋_GB2312" w:cs="仿宋_GB2312" w:eastAsia="仿宋_GB2312"/>
                <w:sz w:val="24"/>
                <w:color w:val="000000"/>
              </w:rPr>
              <w:t>②质量要求。按照《耕地质量等级》(GB/T33469-2016) 要求,储备库内耕地地块,原则上应达到当地高标准农田的耕地质量标准。“优先划入”级别的潜力地块应大于“选择划入”的潜力地块,“限制划入”的地块需在方案中提供划入理由和相关证明材料。</w:t>
            </w:r>
          </w:p>
          <w:p>
            <w:pPr>
              <w:pStyle w:val="null3"/>
              <w:jc w:val="left"/>
            </w:pPr>
            <w:r>
              <w:rPr>
                <w:rFonts w:ascii="仿宋_GB2312" w:hAnsi="仿宋_GB2312" w:cs="仿宋_GB2312" w:eastAsia="仿宋_GB2312"/>
                <w:sz w:val="24"/>
                <w:color w:val="000000"/>
              </w:rPr>
              <w:t>③布局要求。储备库耕地地块应集中连片或与核实处置后永久基本农田集中连片,原则上非集中连片的孤立地块,陕南地区面积不得低于3亩、关中地区不得低于10亩、陕北地区不得低于5亩。</w:t>
            </w:r>
          </w:p>
          <w:p>
            <w:pPr>
              <w:pStyle w:val="null3"/>
              <w:jc w:val="left"/>
            </w:pPr>
            <w:r>
              <w:rPr>
                <w:rFonts w:ascii="仿宋_GB2312" w:hAnsi="仿宋_GB2312" w:cs="仿宋_GB2312" w:eastAsia="仿宋_GB2312"/>
                <w:sz w:val="24"/>
                <w:color w:val="000000"/>
              </w:rPr>
              <w:t>3、成果要求</w:t>
            </w:r>
          </w:p>
          <w:p>
            <w:pPr>
              <w:pStyle w:val="null3"/>
              <w:jc w:val="left"/>
            </w:pPr>
            <w:r>
              <w:rPr>
                <w:rFonts w:ascii="仿宋_GB2312" w:hAnsi="仿宋_GB2312" w:cs="仿宋_GB2312" w:eastAsia="仿宋_GB2312"/>
                <w:sz w:val="24"/>
                <w:color w:val="000000"/>
              </w:rPr>
              <w:t>①县级成果</w:t>
            </w:r>
          </w:p>
          <w:p>
            <w:pPr>
              <w:pStyle w:val="null3"/>
              <w:jc w:val="left"/>
            </w:pPr>
            <w:r>
              <w:rPr>
                <w:rFonts w:ascii="仿宋_GB2312" w:hAnsi="仿宋_GB2312" w:cs="仿宋_GB2312" w:eastAsia="仿宋_GB2312"/>
                <w:sz w:val="24"/>
                <w:color w:val="000000"/>
              </w:rPr>
              <w:t>1.县级永久基本农田储备库建立方案;</w:t>
            </w:r>
          </w:p>
          <w:p>
            <w:pPr>
              <w:pStyle w:val="null3"/>
              <w:jc w:val="left"/>
            </w:pPr>
            <w:r>
              <w:rPr>
                <w:rFonts w:ascii="仿宋_GB2312" w:hAnsi="仿宋_GB2312" w:cs="仿宋_GB2312" w:eastAsia="仿宋_GB2312"/>
                <w:sz w:val="24"/>
                <w:color w:val="000000"/>
              </w:rPr>
              <w:t>2.县级永久基本农田储备库数据库;</w:t>
            </w:r>
          </w:p>
          <w:p>
            <w:pPr>
              <w:pStyle w:val="null3"/>
              <w:jc w:val="left"/>
            </w:pPr>
            <w:r>
              <w:rPr>
                <w:rFonts w:ascii="仿宋_GB2312" w:hAnsi="仿宋_GB2312" w:cs="仿宋_GB2312" w:eastAsia="仿宋_GB2312"/>
                <w:sz w:val="24"/>
                <w:color w:val="000000"/>
              </w:rPr>
              <w:t>3.县级永久基本农田储备库分类型统计表;</w:t>
            </w:r>
          </w:p>
          <w:p>
            <w:pPr>
              <w:pStyle w:val="null3"/>
              <w:jc w:val="left"/>
            </w:pPr>
            <w:r>
              <w:rPr>
                <w:rFonts w:ascii="仿宋_GB2312" w:hAnsi="仿宋_GB2312" w:cs="仿宋_GB2312" w:eastAsia="仿宋_GB2312"/>
                <w:sz w:val="24"/>
                <w:color w:val="000000"/>
              </w:rPr>
              <w:t>4.县级永久基本农田储备库成果自检报告;</w:t>
            </w:r>
          </w:p>
          <w:p>
            <w:pPr>
              <w:pStyle w:val="null3"/>
              <w:jc w:val="left"/>
            </w:pPr>
            <w:r>
              <w:rPr>
                <w:rFonts w:ascii="仿宋_GB2312" w:hAnsi="仿宋_GB2312" w:cs="仿宋_GB2312" w:eastAsia="仿宋_GB2312"/>
                <w:sz w:val="24"/>
                <w:color w:val="000000"/>
              </w:rPr>
              <w:t>5.县级建立永久基本农田储备库工作总结报告。</w:t>
            </w:r>
          </w:p>
          <w:p>
            <w:pPr>
              <w:pStyle w:val="null3"/>
              <w:jc w:val="left"/>
            </w:pPr>
            <w:r>
              <w:rPr>
                <w:rFonts w:ascii="仿宋_GB2312" w:hAnsi="仿宋_GB2312" w:cs="仿宋_GB2312" w:eastAsia="仿宋_GB2312"/>
                <w:sz w:val="24"/>
                <w:color w:val="000000"/>
              </w:rPr>
              <w:t>②市级成果</w:t>
            </w:r>
          </w:p>
          <w:p>
            <w:pPr>
              <w:pStyle w:val="null3"/>
              <w:jc w:val="left"/>
            </w:pPr>
            <w:r>
              <w:rPr>
                <w:rFonts w:ascii="仿宋_GB2312" w:hAnsi="仿宋_GB2312" w:cs="仿宋_GB2312" w:eastAsia="仿宋_GB2312"/>
                <w:sz w:val="24"/>
                <w:color w:val="000000"/>
              </w:rPr>
              <w:t>1.关于报送建立永久基本农田储备库工作成果的函;</w:t>
            </w:r>
          </w:p>
          <w:p>
            <w:pPr>
              <w:pStyle w:val="null3"/>
              <w:jc w:val="left"/>
            </w:pPr>
            <w:r>
              <w:rPr>
                <w:rFonts w:ascii="仿宋_GB2312" w:hAnsi="仿宋_GB2312" w:cs="仿宋_GB2312" w:eastAsia="仿宋_GB2312"/>
                <w:sz w:val="24"/>
                <w:color w:val="000000"/>
              </w:rPr>
              <w:t>2.市级永久基本农田储备库成果检查报告;</w:t>
            </w:r>
          </w:p>
          <w:p>
            <w:pPr>
              <w:pStyle w:val="null3"/>
              <w:jc w:val="left"/>
            </w:pPr>
            <w:r>
              <w:rPr>
                <w:rFonts w:ascii="仿宋_GB2312" w:hAnsi="仿宋_GB2312" w:cs="仿宋_GB2312" w:eastAsia="仿宋_GB2312"/>
                <w:sz w:val="24"/>
                <w:color w:val="000000"/>
              </w:rPr>
              <w:t>3.市级永久基本农田储备库成果数据集;</w:t>
            </w:r>
          </w:p>
          <w:p>
            <w:pPr>
              <w:pStyle w:val="null3"/>
              <w:jc w:val="left"/>
            </w:pPr>
            <w:r>
              <w:rPr>
                <w:rFonts w:ascii="仿宋_GB2312" w:hAnsi="仿宋_GB2312" w:cs="仿宋_GB2312" w:eastAsia="仿宋_GB2312"/>
                <w:sz w:val="24"/>
                <w:color w:val="000000"/>
              </w:rPr>
              <w:t>4.市级建立永久基本农田储备库工作总结报告。</w:t>
            </w:r>
          </w:p>
          <w:p>
            <w:pPr>
              <w:pStyle w:val="null3"/>
              <w:jc w:val="left"/>
            </w:pPr>
            <w:r>
              <w:rPr>
                <w:rFonts w:ascii="仿宋_GB2312" w:hAnsi="仿宋_GB2312" w:cs="仿宋_GB2312" w:eastAsia="仿宋_GB2312"/>
                <w:sz w:val="24"/>
                <w:color w:val="000000"/>
              </w:rPr>
              <w:t>③省级成果</w:t>
            </w:r>
          </w:p>
          <w:p>
            <w:pPr>
              <w:pStyle w:val="null3"/>
              <w:jc w:val="left"/>
            </w:pPr>
            <w:r>
              <w:rPr>
                <w:rFonts w:ascii="仿宋_GB2312" w:hAnsi="仿宋_GB2312" w:cs="仿宋_GB2312" w:eastAsia="仿宋_GB2312"/>
                <w:sz w:val="24"/>
                <w:color w:val="000000"/>
              </w:rPr>
              <w:t>1.省级永久基本农田储备库数据库;</w:t>
            </w:r>
          </w:p>
          <w:p>
            <w:pPr>
              <w:pStyle w:val="null3"/>
              <w:jc w:val="left"/>
            </w:pPr>
            <w:r>
              <w:rPr>
                <w:rFonts w:ascii="仿宋_GB2312" w:hAnsi="仿宋_GB2312" w:cs="仿宋_GB2312" w:eastAsia="仿宋_GB2312"/>
                <w:sz w:val="24"/>
                <w:color w:val="000000"/>
              </w:rPr>
              <w:t>2.省级永久基本农田储备库分布图;</w:t>
            </w:r>
          </w:p>
          <w:p>
            <w:pPr>
              <w:pStyle w:val="null3"/>
              <w:jc w:val="left"/>
            </w:pPr>
            <w:r>
              <w:rPr>
                <w:rFonts w:ascii="仿宋_GB2312" w:hAnsi="仿宋_GB2312" w:cs="仿宋_GB2312" w:eastAsia="仿宋_GB2312"/>
                <w:sz w:val="24"/>
                <w:color w:val="000000"/>
              </w:rPr>
              <w:t>3.省级永久基本农田储备库成果分析报告;</w:t>
            </w:r>
          </w:p>
          <w:p>
            <w:pPr>
              <w:pStyle w:val="null3"/>
              <w:jc w:val="left"/>
            </w:pPr>
            <w:r>
              <w:rPr>
                <w:rFonts w:ascii="仿宋_GB2312" w:hAnsi="仿宋_GB2312" w:cs="仿宋_GB2312" w:eastAsia="仿宋_GB2312"/>
                <w:sz w:val="24"/>
                <w:color w:val="000000"/>
              </w:rPr>
              <w:t>4.省级永久基本农田储备库成果数据集。</w:t>
            </w:r>
          </w:p>
          <w:p>
            <w:pPr>
              <w:pStyle w:val="null3"/>
              <w:jc w:val="left"/>
            </w:pPr>
            <w:r>
              <w:rPr>
                <w:rFonts w:ascii="仿宋_GB2312" w:hAnsi="仿宋_GB2312" w:cs="仿宋_GB2312" w:eastAsia="仿宋_GB2312"/>
                <w:sz w:val="24"/>
                <w:color w:val="000000"/>
              </w:rPr>
              <w:t>④成果文件</w:t>
            </w:r>
            <w:r>
              <w:rPr>
                <w:rFonts w:ascii="仿宋_GB2312" w:hAnsi="仿宋_GB2312" w:cs="仿宋_GB2312" w:eastAsia="仿宋_GB2312"/>
                <w:sz w:val="24"/>
                <w:color w:val="000000"/>
              </w:rPr>
              <w:t>提供全套资料纸质档</w:t>
            </w:r>
            <w:r>
              <w:rPr>
                <w:rFonts w:ascii="仿宋_GB2312" w:hAnsi="仿宋_GB2312" w:cs="仿宋_GB2312" w:eastAsia="仿宋_GB2312"/>
                <w:sz w:val="24"/>
                <w:color w:val="000000"/>
              </w:rPr>
              <w:t>2份，电子版1份。</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具有履行合同所必需的专业技术能力人员，满足磋商文件要求，满足项目需求</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具有履行合同所必需的设施设备，满足磋商文件要求，满足项目需求</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按照采购文件要求执行</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自合同签订之日起3个月。（具体以合同约定为准）</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根据服务内容及要求并提交相关成果资料，经县、市、省级主管部门、国家核查合格后即为验收通过。</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自本项目合同签订后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10.00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提交初步成果文件后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50.00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提交最终成果文件并经验收合格后</w:t>
      </w:r>
      <w:r>
        <w:rPr>
          <w:rFonts w:ascii="仿宋_GB2312" w:hAnsi="仿宋_GB2312" w:cs="仿宋_GB2312" w:eastAsia="仿宋_GB2312"/>
        </w:rPr>
        <w:t xml:space="preserve"> ，达到付款条件起 </w:t>
      </w:r>
      <w:r>
        <w:rPr>
          <w:rFonts w:ascii="仿宋_GB2312" w:hAnsi="仿宋_GB2312" w:cs="仿宋_GB2312" w:eastAsia="仿宋_GB2312"/>
        </w:rPr>
        <w:t>7</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按合同约定执行</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为顺利推进政府采购电子化交易平台应用工作，中标供应商需要在领取中标通知书时向代理机构提供纸质版响应文件，正本壹份、副本贰份、电子版壹份，若线上电子响应文件与纸质响应文件不一致的，以线上电子响应文件为准；若正本和副本不符，以正本为准。 纸质版文件提交地址为：陕西省汉中市洋县南环路与真符路十字向南200米太阳谷.康郡（东大门）康诚建设有限公司（一楼代理部）。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供应商为具有独立承担民事责任能力的法人、其他组织或自然人，并出具合法有效的营业执照或事业单位法人证书等国家规定的相关证明，自然人参与的提供其身份证明书;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法定代表人身份证明或法定代表人授权书</w:t>
            </w:r>
          </w:p>
        </w:tc>
        <w:tc>
          <w:tcPr>
            <w:tcW w:type="dxa" w:w="3322"/>
          </w:tcPr>
          <w:p>
            <w:pPr>
              <w:pStyle w:val="null3"/>
            </w:pPr>
            <w:r>
              <w:rPr>
                <w:rFonts w:ascii="仿宋_GB2312" w:hAnsi="仿宋_GB2312" w:cs="仿宋_GB2312" w:eastAsia="仿宋_GB2312"/>
              </w:rPr>
              <w:t>供应商应授权合法的人员参加磋商全过程，其中法定代表人直接参加磋商的，须出具法定代表人身份证明及法定代表人身份证复印件，并与营业执照上信息一致。法定代表授权委托人参加磋商的，须出具法定代表授权委托书及被授权代表身份证复印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资质证书</w:t>
            </w:r>
          </w:p>
        </w:tc>
        <w:tc>
          <w:tcPr>
            <w:tcW w:type="dxa" w:w="3322"/>
          </w:tcPr>
          <w:p>
            <w:pPr>
              <w:pStyle w:val="null3"/>
            </w:pPr>
            <w:r>
              <w:rPr>
                <w:rFonts w:ascii="仿宋_GB2312" w:hAnsi="仿宋_GB2312" w:cs="仿宋_GB2312" w:eastAsia="仿宋_GB2312"/>
              </w:rPr>
              <w:t>供应商具备测绘乙级及以上资质</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供应商资格承诺</w:t>
            </w:r>
          </w:p>
        </w:tc>
        <w:tc>
          <w:tcPr>
            <w:tcW w:type="dxa" w:w="3322"/>
          </w:tcPr>
          <w:p>
            <w:pPr>
              <w:pStyle w:val="null3"/>
            </w:pPr>
            <w:r>
              <w:rPr>
                <w:rFonts w:ascii="仿宋_GB2312" w:hAnsi="仿宋_GB2312" w:cs="仿宋_GB2312" w:eastAsia="仿宋_GB2312"/>
              </w:rPr>
              <w:t>供应商应具有健全的财务会计制度、履行合同所需的设备和专业技术能力、依法缴纳税收和社会保障资金，以及参加本项目采购活动(以开启时间为准)前3年内经营活动无重大违法记录，供应商应按照汉中市财政局《关于全面推行政府采购供应商基本资格条件承诺制的通知》（汉采办采管〔2024〕20号）文件要求，供应商提供《汉中市政府采购供应商资格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不接受联合体</w:t>
            </w:r>
          </w:p>
        </w:tc>
        <w:tc>
          <w:tcPr>
            <w:tcW w:type="dxa" w:w="3322"/>
          </w:tcPr>
          <w:p>
            <w:pPr>
              <w:pStyle w:val="null3"/>
            </w:pPr>
            <w:r>
              <w:rPr>
                <w:rFonts w:ascii="仿宋_GB2312" w:hAnsi="仿宋_GB2312" w:cs="仿宋_GB2312" w:eastAsia="仿宋_GB2312"/>
              </w:rPr>
              <w:t>本项目不接受联合体；供应商需在项目电子化交易系统中按要求上传相应证明文件并进行电子签章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供应商应提交的相关资格证明材料.pdf</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磋商响应单位名称</w:t>
            </w:r>
          </w:p>
        </w:tc>
        <w:tc>
          <w:tcPr>
            <w:tcW w:type="dxa" w:w="3322"/>
          </w:tcPr>
          <w:p>
            <w:pPr>
              <w:pStyle w:val="null3"/>
            </w:pPr>
            <w:r>
              <w:rPr>
                <w:rFonts w:ascii="仿宋_GB2312" w:hAnsi="仿宋_GB2312" w:cs="仿宋_GB2312" w:eastAsia="仿宋_GB2312"/>
              </w:rPr>
              <w:t>与营业执照一致</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符合磋商文件要求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磋商报价</w:t>
            </w:r>
          </w:p>
        </w:tc>
        <w:tc>
          <w:tcPr>
            <w:tcW w:type="dxa" w:w="3322"/>
          </w:tcPr>
          <w:p>
            <w:pPr>
              <w:pStyle w:val="null3"/>
            </w:pPr>
            <w:r>
              <w:rPr>
                <w:rFonts w:ascii="仿宋_GB2312" w:hAnsi="仿宋_GB2312" w:cs="仿宋_GB2312" w:eastAsia="仿宋_GB2312"/>
              </w:rPr>
              <w:t>按磋商文件要求报价，不得提交选择性报价；报价唯一，并未超过磋商最高限价</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满足磋商文件中要求的服务期限</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供应商应提交的相关资格证明材料.pdf 服务方案 标的清单 报价表 响应函 监狱企业的证明文件</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满足磋商文件中的规定</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符合“响应文件格式” 要求</w:t>
            </w:r>
          </w:p>
        </w:tc>
        <w:tc>
          <w:tcPr>
            <w:tcW w:type="dxa" w:w="1661"/>
          </w:tcPr>
          <w:p>
            <w:pPr>
              <w:pStyle w:val="null3"/>
            </w:pPr>
            <w:r>
              <w:rPr>
                <w:rFonts w:ascii="仿宋_GB2312" w:hAnsi="仿宋_GB2312" w:cs="仿宋_GB2312" w:eastAsia="仿宋_GB2312"/>
              </w:rPr>
              <w:t>响应文件封面 服务内容及服务邀请应答表 中小企业声明函 残疾人福利性单位声明函 商务应答表 服务方案 供应商应提交的相关资格证明材料.pdf 标的清单 报价表 响应函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详细评审85.00分</w:t>
            </w:r>
          </w:p>
          <w:p>
            <w:pPr>
              <w:pStyle w:val="null3"/>
            </w:pPr>
            <w:r>
              <w:rPr>
                <w:rFonts w:ascii="仿宋_GB2312" w:hAnsi="仿宋_GB2312" w:cs="仿宋_GB2312" w:eastAsia="仿宋_GB2312"/>
              </w:rPr>
              <w:t>报价得分15.00分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工作目标及内容</w:t>
            </w:r>
          </w:p>
        </w:tc>
        <w:tc>
          <w:tcPr>
            <w:tcW w:type="dxa" w:w="2492"/>
          </w:tcPr>
          <w:p>
            <w:pPr>
              <w:pStyle w:val="null3"/>
            </w:pPr>
            <w:r>
              <w:rPr>
                <w:rFonts w:ascii="仿宋_GB2312" w:hAnsi="仿宋_GB2312" w:cs="仿宋_GB2312" w:eastAsia="仿宋_GB2312"/>
              </w:rPr>
              <w:t>工作目标及内容: 对本项目的工作目标及内容描述清楚的计4.1-6分；对本项目的工作目标及内容描述基本清楚的计2.1-4分；对本项目的工作目标及内容描述不清楚的计1-2分；未提供不计分。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技术路线</w:t>
            </w:r>
          </w:p>
        </w:tc>
        <w:tc>
          <w:tcPr>
            <w:tcW w:type="dxa" w:w="2492"/>
          </w:tcPr>
          <w:p>
            <w:pPr>
              <w:pStyle w:val="null3"/>
            </w:pPr>
            <w:r>
              <w:rPr>
                <w:rFonts w:ascii="仿宋_GB2312" w:hAnsi="仿宋_GB2312" w:cs="仿宋_GB2312" w:eastAsia="仿宋_GB2312"/>
              </w:rPr>
              <w:t>技术路线： 项目实施的技术路线清晰、全面，技术指标明确计7.1-10分；项目实施的技术路线基本清晰全面计3.1-7分；项目实施的技术路线不够清晰不利于项目实施的计1-3分；未提供不计分。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工作方法</w:t>
            </w:r>
          </w:p>
        </w:tc>
        <w:tc>
          <w:tcPr>
            <w:tcW w:type="dxa" w:w="2492"/>
          </w:tcPr>
          <w:p>
            <w:pPr>
              <w:pStyle w:val="null3"/>
            </w:pPr>
            <w:r>
              <w:rPr>
                <w:rFonts w:ascii="仿宋_GB2312" w:hAnsi="仿宋_GB2312" w:cs="仿宋_GB2312" w:eastAsia="仿宋_GB2312"/>
              </w:rPr>
              <w:t>能够按照工作内容确定工作方法，方法得当，可行性强，完全满足工作的要求计6.1-8分；工作方法基本得当，满足工作要求计3.1-6分；工作方法不得当，不利于项目实施的计1-3分；未提供不计分。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技术难点及解决方案</w:t>
            </w:r>
          </w:p>
        </w:tc>
        <w:tc>
          <w:tcPr>
            <w:tcW w:type="dxa" w:w="2492"/>
          </w:tcPr>
          <w:p>
            <w:pPr>
              <w:pStyle w:val="null3"/>
            </w:pPr>
            <w:r>
              <w:rPr>
                <w:rFonts w:ascii="仿宋_GB2312" w:hAnsi="仿宋_GB2312" w:cs="仿宋_GB2312" w:eastAsia="仿宋_GB2312"/>
              </w:rPr>
              <w:t>技术难点及解决方案： 技术难点分析全面，解决方案有效计7.1-10分；技术难点分析比较全面，解决方案比较计4.1-7分；技术难点分析基本全面，解决方案基本计1-4分； 未提供不计分。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进度保障措施</w:t>
            </w:r>
          </w:p>
        </w:tc>
        <w:tc>
          <w:tcPr>
            <w:tcW w:type="dxa" w:w="2492"/>
          </w:tcPr>
          <w:p>
            <w:pPr>
              <w:pStyle w:val="null3"/>
            </w:pPr>
            <w:r>
              <w:rPr>
                <w:rFonts w:ascii="仿宋_GB2312" w:hAnsi="仿宋_GB2312" w:cs="仿宋_GB2312" w:eastAsia="仿宋_GB2312"/>
              </w:rPr>
              <w:t>进度保障措施： 结合本项目要求，阐述服务时效及进度的保障措施，时间进度安排合理、可行，完全满足采购要求计6.1-8分；措施基本合理，满足项目需求计3.1-6分；措施简单，不利于项目实施计1-3分；未提供不计分。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预期成果</w:t>
            </w:r>
          </w:p>
        </w:tc>
        <w:tc>
          <w:tcPr>
            <w:tcW w:type="dxa" w:w="2492"/>
          </w:tcPr>
          <w:p>
            <w:pPr>
              <w:pStyle w:val="null3"/>
            </w:pPr>
            <w:r>
              <w:rPr>
                <w:rFonts w:ascii="仿宋_GB2312" w:hAnsi="仿宋_GB2312" w:cs="仿宋_GB2312" w:eastAsia="仿宋_GB2312"/>
              </w:rPr>
              <w:t>预期成果： 预期成果格式规范、分类合理、内容齐全、成果描述具体详实的计6.1-8分； 预期成果格式基本规范、分类基本合理、内容基本齐全，并对成果进行相关描述的计3.1-6分；预期成果格式不规范、分类不合理、内容缺失的计1-3分；未提供不计分。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意见建议</w:t>
            </w:r>
          </w:p>
        </w:tc>
        <w:tc>
          <w:tcPr>
            <w:tcW w:type="dxa" w:w="2492"/>
          </w:tcPr>
          <w:p>
            <w:pPr>
              <w:pStyle w:val="null3"/>
            </w:pPr>
            <w:r>
              <w:rPr>
                <w:rFonts w:ascii="仿宋_GB2312" w:hAnsi="仿宋_GB2312" w:cs="仿宋_GB2312" w:eastAsia="仿宋_GB2312"/>
              </w:rPr>
              <w:t>提出的意见建议有益于本项目在技术、质量、进度或管理等方面进行改进的计6.1-8分； 提出的意见建议基本有益于本项目在技术、质量、进度或管理等方面进行改进的计4.1-6分； 提出的意见建议不益于本项目在技术、质量、进度或管理等方面进行改进的计1-4分；未提供不计分。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拟派项目负责人具有相关专业（包含但不限于测绘或土地管理等）中级工程师职称职称计2分，高级工程师职称的计3分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人员配置方案</w:t>
            </w:r>
          </w:p>
        </w:tc>
        <w:tc>
          <w:tcPr>
            <w:tcW w:type="dxa" w:w="2492"/>
          </w:tcPr>
          <w:p>
            <w:pPr>
              <w:pStyle w:val="null3"/>
            </w:pPr>
            <w:r>
              <w:rPr>
                <w:rFonts w:ascii="仿宋_GB2312" w:hAnsi="仿宋_GB2312" w:cs="仿宋_GB2312" w:eastAsia="仿宋_GB2312"/>
              </w:rPr>
              <w:t>人员基本要求（4分）： 包括项目负责人、开展本项目的相关专业技术人员不少于5名；项目实施团队中，高级职称人数（1人基础上）每增加1名高级及以上职称技术人员加1分，本项满分2分。 项目实施团队中，技术人员中（2人基础上）每增加1名中级职称的技术人员加0.5分，本项满分2分。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供应商根据本项目的服务内容，做出切实可行的服务承诺，确保项目能按时按质完成，达到服务要求且能保证项目质量。承诺内容清晰、承诺指标明确，后续服务具有可延续性计4.1-8分；承诺及措施科学合理，基本满足项目需求计1-4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须提供针对本项目的保密措施，有完善的保密机制或具备保密能力的证明（可提供相关保密资格证书），并承诺参与本次项目的所有实施人员必须与采购人签订保密协议，确保信息数据不外泄。保密措施完善、承诺满足项目需求计4.1-8分；有保密措施、承诺满足项目需求计1-4分；未提供的不计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p>
            <w:pPr>
              <w:pStyle w:val="null3"/>
            </w:pPr>
            <w:r>
              <w:rPr>
                <w:rFonts w:ascii="仿宋_GB2312" w:hAnsi="仿宋_GB2312" w:cs="仿宋_GB2312" w:eastAsia="仿宋_GB2312"/>
              </w:rPr>
              <w:t>服务方案</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满足投标文件要求且最终报价价格最低的报价为评审基准价,其价格分为满分,其他供应商的价格分统一按照下列公式计算:报价得分=（评审基准价／最终报价）×15。</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20.00%</w:t>
            </w:r>
          </w:p>
        </w:tc>
        <w:tc>
          <w:tcPr>
            <w:tcW w:type="dxa" w:w="1661"/>
          </w:tcPr>
          <w:p>
            <w:pPr>
              <w:pStyle w:val="null3"/>
            </w:pPr>
            <w:r>
              <w:rPr>
                <w:rFonts w:ascii="仿宋_GB2312" w:hAnsi="仿宋_GB2312" w:cs="仿宋_GB2312" w:eastAsia="仿宋_GB2312"/>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详见附件：服务方案</w:t>
      </w:r>
    </w:p>
    <w:p>
      <w:pPr>
        <w:pStyle w:val="null3"/>
        <w:ind w:firstLine="960"/>
      </w:pPr>
      <w:r>
        <w:rPr>
          <w:rFonts w:ascii="仿宋_GB2312" w:hAnsi="仿宋_GB2312" w:cs="仿宋_GB2312" w:eastAsia="仿宋_GB2312"/>
        </w:rPr>
        <w:t>详见附件：供应商应提交的相关资格证明材料.pdf</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详见附件：残疾人福利性单位声明函</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