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版本号：KCZC-2025-04220251218001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佛坪县全民所有自然资源资产清查项目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KCZC-2025-042</w:t>
      </w:r>
      <w:r>
        <w:br/>
      </w:r>
      <w:r>
        <w:br/>
      </w:r>
      <w:r>
        <w:br/>
      </w:r>
    </w:p>
    <w:p>
      <w:pPr>
        <w:pStyle w:val="null3"/>
        <w:jc w:val="center"/>
        <w:outlineLvl w:val="2"/>
      </w:pPr>
      <w:r>
        <w:rPr>
          <w:rFonts w:ascii="仿宋_GB2312" w:hAnsi="仿宋_GB2312" w:cs="仿宋_GB2312" w:eastAsia="仿宋_GB2312"/>
          <w:sz w:val="28"/>
          <w:b/>
        </w:rPr>
        <w:t>佛坪县自然资源局（县不动产登记局）</w:t>
      </w:r>
    </w:p>
    <w:p>
      <w:pPr>
        <w:pStyle w:val="null3"/>
        <w:jc w:val="center"/>
        <w:outlineLvl w:val="2"/>
      </w:pPr>
      <w:r>
        <w:rPr>
          <w:rFonts w:ascii="仿宋_GB2312" w:hAnsi="仿宋_GB2312" w:cs="仿宋_GB2312" w:eastAsia="仿宋_GB2312"/>
          <w:sz w:val="28"/>
          <w:b/>
        </w:rPr>
        <w:t>康诚建设有限公司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康诚建设有限公司</w:t>
      </w:r>
      <w:r>
        <w:rPr>
          <w:rFonts w:ascii="仿宋_GB2312" w:hAnsi="仿宋_GB2312" w:cs="仿宋_GB2312" w:eastAsia="仿宋_GB2312"/>
        </w:rPr>
        <w:t>（以下简称“代理机构”）受</w:t>
      </w:r>
      <w:r>
        <w:rPr>
          <w:rFonts w:ascii="仿宋_GB2312" w:hAnsi="仿宋_GB2312" w:cs="仿宋_GB2312" w:eastAsia="仿宋_GB2312"/>
        </w:rPr>
        <w:t>佛坪县自然资源局（县不动产登记局）</w:t>
      </w:r>
      <w:r>
        <w:rPr>
          <w:rFonts w:ascii="仿宋_GB2312" w:hAnsi="仿宋_GB2312" w:cs="仿宋_GB2312" w:eastAsia="仿宋_GB2312"/>
        </w:rPr>
        <w:t>委托，拟对</w:t>
      </w:r>
      <w:r>
        <w:rPr>
          <w:rFonts w:ascii="仿宋_GB2312" w:hAnsi="仿宋_GB2312" w:cs="仿宋_GB2312" w:eastAsia="仿宋_GB2312"/>
        </w:rPr>
        <w:t>佛坪县全民所有自然资源资产清查项目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KCZC-2025-042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佛坪县全民所有自然资源资产清查项目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摸清全民所有自然资源资产家底，夯实自然资源资产管理基础，省厅制订印发了《陕西省全民所有自然资源资产清查实施方案》（陕自然资发[2024]1247号。开展全民所有土地、矿产、森林、草原、湿地、水等六类自然资源资产。主要任务为查清实物量、更新和完善资产清查价格体系、核算价值量清查，理清使用权状况，形成实物量、价值量、产权等资产“一张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独立承担民事责任能力的法人或其他组织或自然人：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或法定代表人授权委托书：供应商应授权合法的人员参加磋商全过程，其中法定代表人直接参加磋商的，须出具法定代表人身份证明及法定代表人身份证复印件，并与营业执照上信息一致。法定代表授权委托人参加磋商的，须出具法定代表授权委托书及被授权代表身份证复印件，供应商需在项目电子化交易系统中按要求上传相应证明文件并进行电子签章</w:t>
      </w:r>
    </w:p>
    <w:p>
      <w:pPr>
        <w:pStyle w:val="null3"/>
      </w:pPr>
      <w:r>
        <w:rPr>
          <w:rFonts w:ascii="仿宋_GB2312" w:hAnsi="仿宋_GB2312" w:cs="仿宋_GB2312" w:eastAsia="仿宋_GB2312"/>
        </w:rPr>
        <w:t>3、资质要求：供应商需具备行政主管部门颁发的测绘乙级及以上资质；供应商需在项目电子化交易系统中按要求上传相应证明文件并进行电子签章</w:t>
      </w:r>
    </w:p>
    <w:p>
      <w:pPr>
        <w:pStyle w:val="null3"/>
      </w:pPr>
      <w:r>
        <w:rPr>
          <w:rFonts w:ascii="仿宋_GB2312" w:hAnsi="仿宋_GB2312" w:cs="仿宋_GB2312" w:eastAsia="仿宋_GB2312"/>
        </w:rPr>
        <w:t>4、汉中市政府采购供应商资格承诺函：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5、不接受联合体投标：本项目不接受联合体投标，供应商须提供《非联合体投标书面声明》（格式自拟）。供应商需在项目电子化交易系统中按要求上传相应证明文件并进行电子签章。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佛坪县自然资源局（县不动产登记局）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佛坪县振兴北路33号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佛坪县国土资源局（县不动产登记局）经办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13571620101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康诚建设有限公司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陕西省汉中市汉台区陕西省汉中市汉台区东关街道办事处东一环路盛世国际2号楼写字楼20层2005室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0916-8227772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代理服务费收费标准：代理服务费收费标准：招标代理服务费的金额按《国家发展改革委关于降低部分建设项目收费标准规范收费行为等有关问题的通知》(发改价格〔2011〕534号)规定计取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佛坪县自然资源局（县不动产登记局）</w:t>
      </w:r>
      <w:r>
        <w:rPr>
          <w:rFonts w:ascii="仿宋_GB2312" w:hAnsi="仿宋_GB2312" w:cs="仿宋_GB2312" w:eastAsia="仿宋_GB2312"/>
        </w:rPr>
        <w:t>和</w:t>
      </w:r>
      <w:r>
        <w:rPr>
          <w:rFonts w:ascii="仿宋_GB2312" w:hAnsi="仿宋_GB2312" w:cs="仿宋_GB2312" w:eastAsia="仿宋_GB2312"/>
        </w:rPr>
        <w:t>康诚建设有限公司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佛坪县自然资源局（县不动产登记局）</w:t>
      </w:r>
      <w:r>
        <w:rPr>
          <w:rFonts w:ascii="仿宋_GB2312" w:hAnsi="仿宋_GB2312" w:cs="仿宋_GB2312" w:eastAsia="仿宋_GB2312"/>
        </w:rPr>
        <w:t>负责解释。除上述磋商文件内容，其他内容由</w:t>
      </w:r>
      <w:r>
        <w:rPr>
          <w:rFonts w:ascii="仿宋_GB2312" w:hAnsi="仿宋_GB2312" w:cs="仿宋_GB2312" w:eastAsia="仿宋_GB2312"/>
        </w:rPr>
        <w:t>康诚建设有限公司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佛坪县自然资源局（县不动产登记局）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康诚建设有限公司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符合中省市相关政策文件、法律法规和技术标准要求，成果通过省级审核</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联系人：闫女士</w:t>
      </w:r>
    </w:p>
    <w:p>
      <w:pPr>
        <w:pStyle w:val="null3"/>
      </w:pPr>
      <w:r>
        <w:rPr>
          <w:rFonts w:ascii="仿宋_GB2312" w:hAnsi="仿宋_GB2312" w:cs="仿宋_GB2312" w:eastAsia="仿宋_GB2312"/>
        </w:rPr>
        <w:t>联系电话：15009163449</w:t>
      </w:r>
    </w:p>
    <w:p>
      <w:pPr>
        <w:pStyle w:val="null3"/>
      </w:pPr>
      <w:r>
        <w:rPr>
          <w:rFonts w:ascii="仿宋_GB2312" w:hAnsi="仿宋_GB2312" w:cs="仿宋_GB2312" w:eastAsia="仿宋_GB2312"/>
        </w:rPr>
        <w:t>地址：陕西省汉中市洋县南环路与真符路十字向南200米太阳谷.康郡（东大门）康诚建设有限公司（一楼代理部）</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摸清全民所有自然资源资产家底，夯实自然资源资产管理基础，根据陕西省自然资源厅关于印发《陕西省全民所有自然资源资产清查实施方案》的通知（陕自然资发[2024]1247号文件精神。通过融合自然资源调查监测、森林草原湿地荒漠化普查、确权登记、土地市场监测监管、自然资源分等定级估价等成果，查清资产实物量，核算价值量，摸清各类全民所有自然资源资产底数；结合地籍调查、确权登记等进展，逐步理清使用权状况；在自然资源底图基础上，初步形成包含实物量图层、价值量图层、产权图层等共同构成的资产“一张图”，按需协同管理各类底图底数，支撑统一履行所有者职责。结合全国国土调查工作安排，定期开展全面资产清查和年度变动更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佛坪县全民所有自然资源资产清查项目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标的名称：佛坪县全民所有自然资源资产清查项目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pPr>
            <w:r>
              <w:rPr>
                <w:rFonts w:ascii="仿宋_GB2312" w:hAnsi="仿宋_GB2312" w:cs="仿宋_GB2312" w:eastAsia="仿宋_GB2312"/>
              </w:rPr>
              <w:t>技术要求</w:t>
            </w:r>
          </w:p>
          <w:p>
            <w:pPr>
              <w:pStyle w:val="null3"/>
              <w:ind w:firstLine="480"/>
            </w:pPr>
            <w:r>
              <w:rPr>
                <w:rFonts w:ascii="仿宋_GB2312" w:hAnsi="仿宋_GB2312" w:cs="仿宋_GB2312" w:eastAsia="仿宋_GB2312"/>
                <w:b/>
              </w:rPr>
              <w:t>一、编制依据</w:t>
            </w:r>
          </w:p>
          <w:p>
            <w:pPr>
              <w:pStyle w:val="null3"/>
              <w:ind w:firstLine="480"/>
            </w:pPr>
            <w:r>
              <w:rPr>
                <w:rFonts w:ascii="仿宋_GB2312" w:hAnsi="仿宋_GB2312" w:cs="仿宋_GB2312" w:eastAsia="仿宋_GB2312"/>
              </w:rPr>
              <w:t>1、《自然资源部关于全面开展全民所有自然资源资产清查工作的通知》（自然资发〔2024〕127号）；</w:t>
            </w:r>
          </w:p>
          <w:p>
            <w:pPr>
              <w:pStyle w:val="null3"/>
              <w:ind w:firstLine="480"/>
            </w:pPr>
            <w:r>
              <w:rPr>
                <w:rFonts w:ascii="仿宋_GB2312" w:hAnsi="仿宋_GB2312" w:cs="仿宋_GB2312" w:eastAsia="仿宋_GB2312"/>
              </w:rPr>
              <w:t>2、陕西省自然资源厅关于印发《陕西省全民所有自然资源资产清查实施方案&gt;的通知》（陕自然资发〔2024〕1247号）；</w:t>
            </w:r>
          </w:p>
          <w:p>
            <w:pPr>
              <w:pStyle w:val="null3"/>
              <w:ind w:firstLine="480"/>
            </w:pPr>
            <w:r>
              <w:rPr>
                <w:rFonts w:ascii="仿宋_GB2312" w:hAnsi="仿宋_GB2312" w:cs="仿宋_GB2312" w:eastAsia="仿宋_GB2312"/>
              </w:rPr>
              <w:t>3、汉中市自然资源局关于转发《汉中市全民所有自然资源资产清查实施方案》的通知等政策文件。</w:t>
            </w:r>
          </w:p>
          <w:p>
            <w:pPr>
              <w:pStyle w:val="null3"/>
              <w:ind w:firstLine="480"/>
            </w:pPr>
            <w:r>
              <w:rPr>
                <w:rFonts w:ascii="仿宋_GB2312" w:hAnsi="仿宋_GB2312" w:cs="仿宋_GB2312" w:eastAsia="仿宋_GB2312"/>
              </w:rPr>
              <w:t>在服务期间，如遇上级政策调整，应按上级新的时间要求和新的政策要求，对所做成果进行调整和完善，并满足采购人对本项目的使用。</w:t>
            </w:r>
          </w:p>
          <w:p>
            <w:pPr>
              <w:pStyle w:val="null3"/>
              <w:ind w:firstLine="480"/>
            </w:pPr>
            <w:r>
              <w:rPr>
                <w:rFonts w:ascii="仿宋_GB2312" w:hAnsi="仿宋_GB2312" w:cs="仿宋_GB2312" w:eastAsia="仿宋_GB2312"/>
                <w:b/>
              </w:rPr>
              <w:t>二、技术要求</w:t>
            </w:r>
          </w:p>
          <w:p>
            <w:pPr>
              <w:pStyle w:val="null3"/>
              <w:ind w:firstLine="400"/>
            </w:pPr>
            <w:r>
              <w:rPr>
                <w:rFonts w:ascii="仿宋_GB2312" w:hAnsi="仿宋_GB2312" w:cs="仿宋_GB2312" w:eastAsia="仿宋_GB2312"/>
              </w:rPr>
              <w:t>各类资源的资产清查范围、资产清查方法、资产清查价格体系建设方法等详见《全民所有自然资源资产清查技术指南》。</w:t>
            </w:r>
          </w:p>
          <w:p>
            <w:pPr>
              <w:pStyle w:val="null3"/>
              <w:ind w:firstLine="400"/>
            </w:pPr>
            <w:r>
              <w:rPr>
                <w:rFonts w:ascii="仿宋_GB2312" w:hAnsi="仿宋_GB2312" w:cs="仿宋_GB2312" w:eastAsia="仿宋_GB2312"/>
              </w:rPr>
              <w:t>1.土地资源资产</w:t>
            </w:r>
          </w:p>
          <w:p>
            <w:pPr>
              <w:pStyle w:val="null3"/>
              <w:ind w:firstLine="400"/>
            </w:pPr>
            <w:r>
              <w:rPr>
                <w:rFonts w:ascii="仿宋_GB2312" w:hAnsi="仿宋_GB2312" w:cs="仿宋_GB2312" w:eastAsia="仿宋_GB2312"/>
              </w:rPr>
              <w:t>2.矿产资源资产</w:t>
            </w:r>
          </w:p>
          <w:p>
            <w:pPr>
              <w:pStyle w:val="null3"/>
              <w:ind w:firstLine="400"/>
            </w:pPr>
            <w:r>
              <w:rPr>
                <w:rFonts w:ascii="仿宋_GB2312" w:hAnsi="仿宋_GB2312" w:cs="仿宋_GB2312" w:eastAsia="仿宋_GB2312"/>
              </w:rPr>
              <w:t>3.森林、草原、湿地资源资产</w:t>
            </w:r>
          </w:p>
          <w:p>
            <w:pPr>
              <w:pStyle w:val="null3"/>
              <w:ind w:firstLine="480"/>
            </w:pPr>
            <w:r>
              <w:rPr>
                <w:rFonts w:ascii="仿宋_GB2312" w:hAnsi="仿宋_GB2312" w:cs="仿宋_GB2312" w:eastAsia="仿宋_GB2312"/>
              </w:rPr>
              <w:t>4.水资源资产</w:t>
            </w:r>
          </w:p>
          <w:p>
            <w:pPr>
              <w:pStyle w:val="null3"/>
              <w:ind w:firstLine="480"/>
            </w:pPr>
            <w:r>
              <w:rPr>
                <w:rFonts w:ascii="仿宋_GB2312" w:hAnsi="仿宋_GB2312" w:cs="仿宋_GB2312" w:eastAsia="仿宋_GB2312"/>
              </w:rPr>
              <w:t>5.未确定使用权人国有建设用地资产</w:t>
            </w:r>
          </w:p>
          <w:p>
            <w:pPr>
              <w:pStyle w:val="null3"/>
              <w:ind w:firstLine="480"/>
            </w:pPr>
            <w:r>
              <w:rPr>
                <w:rFonts w:ascii="仿宋_GB2312" w:hAnsi="仿宋_GB2312" w:cs="仿宋_GB2312" w:eastAsia="仿宋_GB2312"/>
              </w:rPr>
              <w:t>6.探索资产清查成果应用和更新机制</w:t>
            </w:r>
          </w:p>
          <w:p>
            <w:pPr>
              <w:pStyle w:val="null3"/>
              <w:ind w:firstLine="480"/>
            </w:pPr>
            <w:r>
              <w:rPr>
                <w:rFonts w:ascii="仿宋_GB2312" w:hAnsi="仿宋_GB2312" w:cs="仿宋_GB2312" w:eastAsia="仿宋_GB2312"/>
                <w:b/>
              </w:rPr>
              <w:t>三、工作成果</w:t>
            </w:r>
          </w:p>
          <w:p>
            <w:pPr>
              <w:pStyle w:val="null3"/>
              <w:ind w:firstLine="480"/>
            </w:pPr>
            <w:r>
              <w:rPr>
                <w:rFonts w:ascii="仿宋_GB2312" w:hAnsi="仿宋_GB2312" w:cs="仿宋_GB2312" w:eastAsia="仿宋_GB2312"/>
              </w:rPr>
              <w:t>1、数据成果。</w:t>
            </w:r>
          </w:p>
          <w:p>
            <w:pPr>
              <w:pStyle w:val="null3"/>
              <w:ind w:firstLine="480"/>
            </w:pPr>
            <w:r>
              <w:rPr>
                <w:rFonts w:ascii="仿宋_GB2312" w:hAnsi="仿宋_GB2312" w:cs="仿宋_GB2312" w:eastAsia="仿宋_GB2312"/>
              </w:rPr>
              <w:t>2、文字成果</w:t>
            </w:r>
          </w:p>
          <w:p>
            <w:pPr>
              <w:pStyle w:val="null3"/>
              <w:ind w:firstLine="480"/>
            </w:pPr>
            <w:r>
              <w:rPr>
                <w:rFonts w:ascii="仿宋_GB2312" w:hAnsi="仿宋_GB2312" w:cs="仿宋_GB2312" w:eastAsia="仿宋_GB2312"/>
              </w:rPr>
              <w:t>3、图件成果</w:t>
            </w:r>
          </w:p>
          <w:p>
            <w:pPr>
              <w:pStyle w:val="null3"/>
              <w:ind w:firstLine="480"/>
            </w:pPr>
            <w:r>
              <w:rPr>
                <w:rFonts w:ascii="仿宋_GB2312" w:hAnsi="仿宋_GB2312" w:cs="仿宋_GB2312" w:eastAsia="仿宋_GB2312"/>
              </w:rPr>
              <w:t>4、数据库成果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pPr>
            <w:r>
              <w:rPr>
                <w:rFonts w:ascii="仿宋_GB2312" w:hAnsi="仿宋_GB2312" w:cs="仿宋_GB2312" w:eastAsia="仿宋_GB2312"/>
              </w:rPr>
              <w:t>商务要求</w:t>
            </w:r>
          </w:p>
          <w:p>
            <w:pPr>
              <w:pStyle w:val="null3"/>
              <w:ind w:firstLine="400"/>
            </w:pPr>
            <w:r>
              <w:rPr>
                <w:rFonts w:ascii="仿宋_GB2312" w:hAnsi="仿宋_GB2312" w:cs="仿宋_GB2312" w:eastAsia="仿宋_GB2312"/>
              </w:rPr>
              <w:t>一、合同履行期限</w:t>
            </w:r>
          </w:p>
          <w:p>
            <w:pPr>
              <w:pStyle w:val="null3"/>
              <w:ind w:firstLine="400"/>
            </w:pPr>
            <w:r>
              <w:rPr>
                <w:rFonts w:ascii="仿宋_GB2312" w:hAnsi="仿宋_GB2312" w:cs="仿宋_GB2312" w:eastAsia="仿宋_GB2312"/>
              </w:rPr>
              <w:t>自合同签订之日起</w:t>
            </w:r>
            <w:r>
              <w:rPr>
                <w:rFonts w:ascii="仿宋_GB2312" w:hAnsi="仿宋_GB2312" w:cs="仿宋_GB2312" w:eastAsia="仿宋_GB2312"/>
              </w:rPr>
              <w:t>3个月。</w:t>
            </w:r>
          </w:p>
          <w:p>
            <w:pPr>
              <w:pStyle w:val="null3"/>
              <w:ind w:firstLine="400"/>
            </w:pPr>
            <w:r>
              <w:rPr>
                <w:rFonts w:ascii="仿宋_GB2312" w:hAnsi="仿宋_GB2312" w:cs="仿宋_GB2312" w:eastAsia="仿宋_GB2312"/>
              </w:rPr>
              <w:t>二、付款方式</w:t>
            </w:r>
          </w:p>
          <w:p>
            <w:pPr>
              <w:pStyle w:val="null3"/>
              <w:ind w:firstLine="400"/>
            </w:pPr>
            <w:r>
              <w:rPr>
                <w:rFonts w:ascii="仿宋_GB2312" w:hAnsi="仿宋_GB2312" w:cs="仿宋_GB2312" w:eastAsia="仿宋_GB2312"/>
              </w:rPr>
              <w:t>1、自本项目合同签订后，达到付款条件起7日内，支付合同总金额的10.00%。</w:t>
            </w:r>
          </w:p>
          <w:p>
            <w:pPr>
              <w:pStyle w:val="null3"/>
              <w:ind w:firstLine="400"/>
            </w:pPr>
            <w:r>
              <w:rPr>
                <w:rFonts w:ascii="仿宋_GB2312" w:hAnsi="仿宋_GB2312" w:cs="仿宋_GB2312" w:eastAsia="仿宋_GB2312"/>
              </w:rPr>
              <w:t>2、提交初步成果文件后，达到付款条件起7日内，支付合同总金额的50.00%。</w:t>
            </w:r>
          </w:p>
          <w:p>
            <w:pPr>
              <w:pStyle w:val="null3"/>
              <w:ind w:firstLine="400"/>
            </w:pPr>
            <w:r>
              <w:rPr>
                <w:rFonts w:ascii="仿宋_GB2312" w:hAnsi="仿宋_GB2312" w:cs="仿宋_GB2312" w:eastAsia="仿宋_GB2312"/>
              </w:rPr>
              <w:t>3、提交最终成果文件并经验收合格后，达到付款条件起7日内，支付合同总金额的40.00%。</w:t>
            </w:r>
          </w:p>
          <w:p>
            <w:pPr>
              <w:pStyle w:val="null3"/>
              <w:ind w:firstLine="400"/>
            </w:pPr>
            <w:r>
              <w:rPr>
                <w:rFonts w:ascii="仿宋_GB2312" w:hAnsi="仿宋_GB2312" w:cs="仿宋_GB2312" w:eastAsia="仿宋_GB2312"/>
              </w:rPr>
              <w:t>三、验收方法及标准</w:t>
            </w:r>
          </w:p>
          <w:p>
            <w:pPr>
              <w:pStyle w:val="null3"/>
              <w:ind w:firstLine="400"/>
            </w:pPr>
            <w:r>
              <w:rPr>
                <w:rFonts w:ascii="仿宋_GB2312" w:hAnsi="仿宋_GB2312" w:cs="仿宋_GB2312" w:eastAsia="仿宋_GB2312"/>
              </w:rPr>
              <w:t>1、达到国家、省、市、县相关规范为验收标准。</w:t>
            </w:r>
          </w:p>
          <w:p>
            <w:pPr>
              <w:pStyle w:val="null3"/>
              <w:ind w:firstLine="400"/>
            </w:pPr>
            <w:r>
              <w:rPr>
                <w:rFonts w:ascii="仿宋_GB2312" w:hAnsi="仿宋_GB2312" w:cs="仿宋_GB2312" w:eastAsia="仿宋_GB2312"/>
              </w:rPr>
              <w:t>2、最终成果以通过省级审核为准。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符合中省市相关政策文件、法律法规和技术标准要求，成果通过省级审核。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提交初步成果文件后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提交最终成果文件并经验收合格后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中标供应商需要在领取中标通知书时向代理机构提供纸质版响应文件，正本壹份、副本贰份、电子版壹份，若线上电子响应文件与纸质响应文件不一致的，以线上电子响应文件为准；若正本和副本不符，以正本为准。 纸质版文件提交地址为：陕西省汉中市洋县南环路与真符路十字向南200米太阳谷.康郡（东大门）康诚建设有限公司（一楼代理部）。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供应商须为独立承担民事责任能力的法人或其他组织或自然人</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及法定代表人身份证复印件，并与营业执照上信息一致。法定代表授权委托人参加磋商的，须出具法定代表授权委托书及被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供应商需具备行政主管部门颁发的测绘乙级及以上资质；供应商需在项目电子化交易系统中按要求上传相应证明文件并进行电子签章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失信被执行人”、“重大税收违法案件当事人名单”中，也未列入“中国政府采购网”的“政府采购严重违法失信行为记录名单”中，（拟参与本项目的供应商应按照汉中市财政局《关于全面推行政府采购供应商基本资格条件承诺制的通知》（汉财办采管〔2024〕20号）文件要求，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本项目不接受联合体投标，供应商须提供《非联合体投标书面声明》（格式自拟）。供应商需在项目电子化交易系统中按要求上传相应证明文件并进行电子签章。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其他证明资料.pdf 商务应答表 供应商应提交的相关资格证明材料.pdf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其他证明资料.pdf 商务应答表 供应商应提交的相关资格证明材料.pdf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 （3）服务期限：应满足采购文件中要求； （4）服务地点：应满足采购文件中要求； （5）投标有效期：应满足采购文件中的规定。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其他证明资料.pdf 商务应答表 供应商应提交的相关资格证明材料.pdf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政策背景理解</w:t>
            </w:r>
          </w:p>
        </w:tc>
        <w:tc>
          <w:tcPr>
            <w:tcW w:type="dxa" w:w="2492"/>
          </w:tcPr>
          <w:p>
            <w:pPr>
              <w:pStyle w:val="null3"/>
            </w:pPr>
            <w:r>
              <w:rPr>
                <w:rFonts w:ascii="仿宋_GB2312" w:hAnsi="仿宋_GB2312" w:cs="仿宋_GB2312" w:eastAsia="仿宋_GB2312"/>
              </w:rPr>
              <w:t>对全民所有自然资源资产清查的政策背景方面描述理解全面、表述清晰。 磋商小组成员根据其响应情况进行赋分。 对本项目背景和工作目标熟悉、了解到位得7.1-10分； 了解和熟悉情况较好 4.1-7分； 了解、熟悉情况一般得1-4分； 未提供本项内容不赋分。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重点和难点分析</w:t>
            </w:r>
          </w:p>
        </w:tc>
        <w:tc>
          <w:tcPr>
            <w:tcW w:type="dxa" w:w="2492"/>
          </w:tcPr>
          <w:p>
            <w:pPr>
              <w:pStyle w:val="null3"/>
            </w:pPr>
            <w:r>
              <w:rPr>
                <w:rFonts w:ascii="仿宋_GB2312" w:hAnsi="仿宋_GB2312" w:cs="仿宋_GB2312" w:eastAsia="仿宋_GB2312"/>
              </w:rPr>
              <w:t>对全民所有自然资源资产清查工作内容的重点和难点分析，分析合理且解决方案具有强针对性与可操作性。 磋商小组成员根据其响应情况进行赋分。重难点理解到位、应对措施合理可行的赋7.1-10分； 重难点理解基本到位、应对措施较为合理可行的赋4.1-7分； 重难点理解不到位、应对措施较差的赋1-4分； 未提供本项内容不赋分。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实施计划编制</w:t>
            </w:r>
          </w:p>
        </w:tc>
        <w:tc>
          <w:tcPr>
            <w:tcW w:type="dxa" w:w="2492"/>
          </w:tcPr>
          <w:p>
            <w:pPr>
              <w:pStyle w:val="null3"/>
            </w:pPr>
            <w:r>
              <w:rPr>
                <w:rFonts w:ascii="仿宋_GB2312" w:hAnsi="仿宋_GB2312" w:cs="仿宋_GB2312" w:eastAsia="仿宋_GB2312"/>
              </w:rPr>
              <w:t>对全民所有自然资源资产清查计划编制内容表述合理且全面。磋商小组成员根据其响应情况进行赋分。 思路清晰、合理、可行，对项目实施具有较强的指导作用得8.1-12 分； 思路基本清晰、具有一定的合理性和可行性，对项目实施有一定指导作用 的得 4.1-8 分； 服务方案思路不清晰、合理性和可行性较差，影响项目实施的得1-4分。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项目管理制度</w:t>
            </w:r>
          </w:p>
        </w:tc>
        <w:tc>
          <w:tcPr>
            <w:tcW w:type="dxa" w:w="2492"/>
          </w:tcPr>
          <w:p>
            <w:pPr>
              <w:pStyle w:val="null3"/>
            </w:pPr>
            <w:r>
              <w:rPr>
                <w:rFonts w:ascii="仿宋_GB2312" w:hAnsi="仿宋_GB2312" w:cs="仿宋_GB2312" w:eastAsia="仿宋_GB2312"/>
              </w:rPr>
              <w:t>针对本项目提出完善的管理制度，包括组织机构、项目架构、岗位工作标准、工作流程、职责分工等方面。要求满足项目需求综合评定，架构合理，人员配置齐全、岗位分配合理。承诺若出现项目人员因事病等不能工作的，及时请调其他项目人员补充，确保各项工作正常进行的，不承诺不得分。磋商小组成员根据其响应情况进行赋分。 制度完善、承诺内容全面，实际可行性较高的赋7.1-10分； 制度完善、承诺内容比较全面，有一定的可行性的赋4.1-7分； 制度完善、承诺内容一般，可行性差的赋1-4分 未提供本项内容不赋分。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质量保证措施和管控机制</w:t>
            </w:r>
          </w:p>
        </w:tc>
        <w:tc>
          <w:tcPr>
            <w:tcW w:type="dxa" w:w="2492"/>
          </w:tcPr>
          <w:p>
            <w:pPr>
              <w:pStyle w:val="null3"/>
            </w:pPr>
            <w:r>
              <w:rPr>
                <w:rFonts w:ascii="仿宋_GB2312" w:hAnsi="仿宋_GB2312" w:cs="仿宋_GB2312" w:eastAsia="仿宋_GB2312"/>
              </w:rPr>
              <w:t>针对本项目实施过程中，服务质量保证体系是否完整，质量保证措施是否合理，管控机制是否完善等，进行计分。 磋商小组成员根据其响应情况进行赋分。 质量保证措施和管控机制详细具体赋7.1-10分； 质量保证措施和管控机制较为详细赋4.1-7分； 质量保证措施和管控机制不合理、质量保证措施较差赋1-4分；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结合本项目要求，阐述服务时效及进度的保障措施，时间进度安排是否合理、可行计分。 服务时效及进度的保障措施，时间进度安排合理、可行赋7.1-10分； 服务时效及进度的保障措施，时间进度安排较为合理、可行赋4.1-7分； 服务时效及进度的保障措施，时间进度安排不合理、可行赋1-4分；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供应商须提供针对本项目的保密制度及措施，有完善的保密机制或具备保密能力的证明（可提供相关保密资格证书），确保信息数据不外泄。 磋商小组成员根据其响应情况进行赋分。 保密措施、承诺合理、可行赋6.1-9分； 保密措施、承诺基本合理、可行赋3.1-6分； 保密措施、承诺不合理、可行赋1-3分； 未提供本项内容不赋分。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 磋商小组成员根据其响应情况进行赋分。 承诺内容全面，实际可行性较高的赋7.1-10分； 承诺内容比较全面，有一定的可行性的赋4.1-7分； 承诺内容一般，可行性差的赋1-4分 未提供本项内容不赋分。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拟派项目负责人具有测绘相关专业中级及以上职称得3分，具有测绘相关专业初级职称得1分。未提供的不计分（以提供职称复印件为准）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其他证明资料.pdf</w:t>
            </w:r>
          </w:p>
        </w:tc>
      </w:tr>
      <w:tr>
        <w:tc>
          <w:tcPr>
            <w:tcW w:type="dxa" w:w="831"/>
            <w:vMerge/>
          </w:tcPr>
          <w:p/>
        </w:tc>
        <w:tc>
          <w:tcPr>
            <w:tcW w:type="dxa" w:w="1661"/>
          </w:tcPr>
          <w:p>
            <w:pPr>
              <w:pStyle w:val="null3"/>
            </w:pPr>
            <w:r>
              <w:rPr>
                <w:rFonts w:ascii="仿宋_GB2312" w:hAnsi="仿宋_GB2312" w:cs="仿宋_GB2312" w:eastAsia="仿宋_GB2312"/>
              </w:rPr>
              <w:t>其他团队成员（不含项目负责人）</w:t>
            </w:r>
          </w:p>
        </w:tc>
        <w:tc>
          <w:tcPr>
            <w:tcW w:type="dxa" w:w="2492"/>
          </w:tcPr>
          <w:p>
            <w:pPr>
              <w:pStyle w:val="null3"/>
            </w:pPr>
            <w:r>
              <w:rPr>
                <w:rFonts w:ascii="仿宋_GB2312" w:hAnsi="仿宋_GB2312" w:cs="仿宋_GB2312" w:eastAsia="仿宋_GB2312"/>
              </w:rPr>
              <w:t>拟派服务团队每提供一名具备初级职称的人员得0.5分，每提供一名具备中级职称的人员得1分，每提供一名具备副高级及以上职称的人员得2分。 （不包含项目负责人）本项满分6分。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其他证明资料.pdf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即满足磋商文件要求且磋商价格最低的报价为评标基准价，其价格分为满分。其他供应商的价格分统一按照下列公式计算：价格分=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详见附件：其他证明资料.pdf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