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版本号：KCZC-2025-04120251218001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佛坪县详细规划单元划定和岳坝镇、石墩河镇、大河坝镇、陈家坝镇等4个镇级单元及实施层面详细规划编制项目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KCZC-2025-041</w:t>
      </w:r>
      <w:r>
        <w:br/>
      </w:r>
      <w:r>
        <w:br/>
      </w:r>
      <w:r>
        <w:br/>
      </w:r>
    </w:p>
    <w:p>
      <w:pPr>
        <w:pStyle w:val="null3"/>
        <w:jc w:val="center"/>
        <w:outlineLvl w:val="2"/>
      </w:pPr>
      <w:r>
        <w:rPr>
          <w:rFonts w:ascii="仿宋_GB2312" w:hAnsi="仿宋_GB2312" w:cs="仿宋_GB2312" w:eastAsia="仿宋_GB2312"/>
          <w:sz w:val="28"/>
          <w:b/>
        </w:rPr>
        <w:t>佛坪县自然资源局（县不动产登记局）</w:t>
      </w:r>
    </w:p>
    <w:p>
      <w:pPr>
        <w:pStyle w:val="null3"/>
        <w:jc w:val="center"/>
        <w:outlineLvl w:val="2"/>
      </w:pPr>
      <w:r>
        <w:rPr>
          <w:rFonts w:ascii="仿宋_GB2312" w:hAnsi="仿宋_GB2312" w:cs="仿宋_GB2312" w:eastAsia="仿宋_GB2312"/>
          <w:sz w:val="28"/>
          <w:b/>
        </w:rPr>
        <w:t>康诚建设有限公司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康诚建设有限公司</w:t>
      </w:r>
      <w:r>
        <w:rPr>
          <w:rFonts w:ascii="仿宋_GB2312" w:hAnsi="仿宋_GB2312" w:cs="仿宋_GB2312" w:eastAsia="仿宋_GB2312"/>
        </w:rPr>
        <w:t>（以下简称“代理机构”）受</w:t>
      </w:r>
      <w:r>
        <w:rPr>
          <w:rFonts w:ascii="仿宋_GB2312" w:hAnsi="仿宋_GB2312" w:cs="仿宋_GB2312" w:eastAsia="仿宋_GB2312"/>
        </w:rPr>
        <w:t>佛坪县自然资源局（县不动产登记局）</w:t>
      </w:r>
      <w:r>
        <w:rPr>
          <w:rFonts w:ascii="仿宋_GB2312" w:hAnsi="仿宋_GB2312" w:cs="仿宋_GB2312" w:eastAsia="仿宋_GB2312"/>
        </w:rPr>
        <w:t>委托，拟对</w:t>
      </w:r>
      <w:r>
        <w:rPr>
          <w:rFonts w:ascii="仿宋_GB2312" w:hAnsi="仿宋_GB2312" w:cs="仿宋_GB2312" w:eastAsia="仿宋_GB2312"/>
        </w:rPr>
        <w:t>佛坪县详细规划单元划定和岳坝镇、石墩河镇、大河坝镇、陈家坝镇等4个镇级单元及实施层面详细规划编制项目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KCZC-2025-041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佛坪县详细规划单元划定和岳坝镇、石墩河镇、大河坝镇、陈家坝镇等4个镇级单元及实施层面详细规划编制项目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化"多规合一"改革，建立健全国土空间规划体系，规范国土空间详细规划编制管理和实施监督工作，提高规划工作效率和成果质量，根据自然资源部&lt;&lt;关于加强国土空间详细规划工作的通知&gt;&gt;(自然资发[2023]43号)要求，结合我省实际，编制佛坪县详细规划单元划定和岳坝镇、石墩河镇、大河坝镇、陈家坝镇等4个镇级单元及实施层面详细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法定代表人身份证明或法定代表人授权书：供应商应授权合法的人员参加磋商全过程，其中法定代表人直接参加投标的，须出具法人身份证明及法定代表人身份证，并与营业执照上信息一致。法定代表人授权委托人参加投标的，须出具法定代表人授权委托书及被授权代表身份证，供应商需在项目电子化交易系统中按要求上传相应证明文件并进行电子签章。</w:t>
      </w:r>
    </w:p>
    <w:p>
      <w:pPr>
        <w:pStyle w:val="null3"/>
      </w:pPr>
      <w:r>
        <w:rPr>
          <w:rFonts w:ascii="仿宋_GB2312" w:hAnsi="仿宋_GB2312" w:cs="仿宋_GB2312" w:eastAsia="仿宋_GB2312"/>
        </w:rPr>
        <w:t>3、资质证书：供应商须具备行政主管部门颁发的城乡规划编制乙级及以上资质；供应商需在项目电子化交易系统中按要求上传相应证明文件并进行电子签章。</w:t>
      </w:r>
    </w:p>
    <w:p>
      <w:pPr>
        <w:pStyle w:val="null3"/>
      </w:pPr>
      <w:r>
        <w:rPr>
          <w:rFonts w:ascii="仿宋_GB2312" w:hAnsi="仿宋_GB2312" w:cs="仿宋_GB2312" w:eastAsia="仿宋_GB2312"/>
        </w:rPr>
        <w:t>4、供应商资格：供应商应具有健全的财务会计制度、履行合同所需的设备和专业技术能力、依法缴纳税收和社会保障资金，以及参加本项目采购活动(以开启时间为准)前3年内经营活动无重大违法记录，供应商应按照汉中市财政局&lt;&lt;关于全面推行政府采购供应商基本资格条件承诺制的通知&gt;&gt;(汉采办采管(2024)20号)文件要求，供应商提供&lt;&lt;汉中市政府采购供应商资格承诺函&gt;&gt;，供应商需在项目电子化交易系统中按要求上传相应证明文件并进行电子签章。</w:t>
      </w:r>
    </w:p>
    <w:p>
      <w:pPr>
        <w:pStyle w:val="null3"/>
      </w:pPr>
      <w:r>
        <w:rPr>
          <w:rFonts w:ascii="仿宋_GB2312" w:hAnsi="仿宋_GB2312" w:cs="仿宋_GB2312" w:eastAsia="仿宋_GB2312"/>
        </w:rPr>
        <w:t>5、不接受联合体：本项目不接受联合体；供应商须提供《非联合体投标书面声明》（格式自拟）。供应商需在项目电子化交易系统中按要求上传相应证明文件并进行电子签章。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佛坪县自然资源局（县不动产登记局）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佛坪县振兴北路33号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佛坪县国土资源局（县不动产登记局）经办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13571620101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康诚建设有限公司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陕西省汉中市汉台区陕西省汉中市汉台区东关街道办事处东一环路盛世国际2号楼写字楼20层2005室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0916-8227772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肖慧</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代理服务费收费标准：招标代理服务费的金额按《国家发展改革委关于降低部分建设项目收费标准规范收费行为等有关问题的通知》(发改价格〔2011〕534号)规定计取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佛坪县自然资源局（县不动产登记局）</w:t>
      </w:r>
      <w:r>
        <w:rPr>
          <w:rFonts w:ascii="仿宋_GB2312" w:hAnsi="仿宋_GB2312" w:cs="仿宋_GB2312" w:eastAsia="仿宋_GB2312"/>
        </w:rPr>
        <w:t>和</w:t>
      </w:r>
      <w:r>
        <w:rPr>
          <w:rFonts w:ascii="仿宋_GB2312" w:hAnsi="仿宋_GB2312" w:cs="仿宋_GB2312" w:eastAsia="仿宋_GB2312"/>
        </w:rPr>
        <w:t>康诚建设有限公司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佛坪县自然资源局（县不动产登记局）</w:t>
      </w:r>
      <w:r>
        <w:rPr>
          <w:rFonts w:ascii="仿宋_GB2312" w:hAnsi="仿宋_GB2312" w:cs="仿宋_GB2312" w:eastAsia="仿宋_GB2312"/>
        </w:rPr>
        <w:t>负责解释。除上述磋商文件内容，其他内容由</w:t>
      </w:r>
      <w:r>
        <w:rPr>
          <w:rFonts w:ascii="仿宋_GB2312" w:hAnsi="仿宋_GB2312" w:cs="仿宋_GB2312" w:eastAsia="仿宋_GB2312"/>
        </w:rPr>
        <w:t>康诚建设有限公司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佛坪县自然资源局（县不动产登记局）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康诚建设有限公司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康诚建设有限公司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康诚建设有限公司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康诚建设有限公司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联系人：樊女士</w:t>
      </w:r>
    </w:p>
    <w:p>
      <w:pPr>
        <w:pStyle w:val="null3"/>
      </w:pPr>
      <w:r>
        <w:rPr>
          <w:rFonts w:ascii="仿宋_GB2312" w:hAnsi="仿宋_GB2312" w:cs="仿宋_GB2312" w:eastAsia="仿宋_GB2312"/>
        </w:rPr>
        <w:t>联系电话：0916-8227772</w:t>
      </w:r>
    </w:p>
    <w:p>
      <w:pPr>
        <w:pStyle w:val="null3"/>
      </w:pPr>
      <w:r>
        <w:rPr>
          <w:rFonts w:ascii="仿宋_GB2312" w:hAnsi="仿宋_GB2312" w:cs="仿宋_GB2312" w:eastAsia="仿宋_GB2312"/>
        </w:rPr>
        <w:t>地址：陕西省汉中市洋县南环路与真符路十字向南200米太阳谷.康郡（东大门）康诚建设有限公司（一楼代理部）</w:t>
      </w:r>
    </w:p>
    <w:p>
      <w:pPr>
        <w:pStyle w:val="null3"/>
      </w:pPr>
      <w:r>
        <w:rPr>
          <w:rFonts w:ascii="仿宋_GB2312" w:hAnsi="仿宋_GB2312" w:cs="仿宋_GB2312" w:eastAsia="仿宋_GB2312"/>
        </w:rPr>
        <w:t>邮编：723300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化"多规合一"改革，建立健全国土空间规划体系，规范国土空间详细规划编制管理和实施监督工作，提高规划工作效率和成果质量，根据自然资源部&lt;&lt;关于加强国土空间详细规划工作的通知&gt;&gt;(自然资发[2023]43号)要求，结合我省实际，进行佛坪县详细规划单元划定和岳坝镇、石墩河镇、大河坝镇、陈家坝镇等4个镇级单元及实施层面详细规划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佛坪县详细规划单元划定和岳坝镇、石墩河镇、大河坝镇、陈家坝镇等4个镇级单元及实施层面详细规划编制项目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标的名称：佛坪县详细规划单元划定和岳坝镇、石墩河镇、大河坝镇、陈家坝镇等4个镇级单元及实施层面详细规划编制项目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right="-60" w:firstLine="560"/>
              <w:jc w:val="both"/>
            </w:pPr>
            <w:r>
              <w:rPr>
                <w:rFonts w:ascii="仿宋_GB2312" w:hAnsi="仿宋_GB2312" w:cs="仿宋_GB2312" w:eastAsia="仿宋_GB2312"/>
                <w:sz w:val="24"/>
              </w:rPr>
              <w:t>技术条款</w:t>
            </w:r>
          </w:p>
          <w:p>
            <w:pPr>
              <w:pStyle w:val="null3"/>
              <w:ind w:firstLine="482"/>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技术标准</w:t>
            </w:r>
          </w:p>
          <w:p>
            <w:pPr>
              <w:pStyle w:val="null3"/>
              <w:ind w:firstLine="480"/>
              <w:jc w:val="both"/>
            </w:pPr>
            <w:r>
              <w:rPr>
                <w:rFonts w:ascii="仿宋_GB2312" w:hAnsi="仿宋_GB2312" w:cs="仿宋_GB2312" w:eastAsia="仿宋_GB2312"/>
                <w:sz w:val="24"/>
              </w:rPr>
              <w:t>根据详细规划相关国家标准和行业标准，《陕西省城镇开发边界内详细规划编制指南》（试行）（</w:t>
            </w:r>
            <w:r>
              <w:rPr>
                <w:rFonts w:ascii="仿宋_GB2312" w:hAnsi="仿宋_GB2312" w:cs="仿宋_GB2312" w:eastAsia="仿宋_GB2312"/>
                <w:sz w:val="24"/>
              </w:rPr>
              <w:t>2024.6）、《陕西省城镇开发边界内详细规划数据库标准（试行）》（修订版）（2025.4）、《陕西省城市规划管理技术规定》（2018版）及市、县技术指南等。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工作内容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佛坪县详细规划单元划定</w:t>
            </w:r>
          </w:p>
          <w:p>
            <w:pPr>
              <w:pStyle w:val="null3"/>
              <w:ind w:firstLine="480"/>
              <w:jc w:val="both"/>
            </w:pPr>
            <w:r>
              <w:rPr>
                <w:rFonts w:ascii="仿宋_GB2312" w:hAnsi="仿宋_GB2312" w:cs="仿宋_GB2312" w:eastAsia="仿宋_GB2312"/>
                <w:sz w:val="24"/>
              </w:rPr>
              <w:t>划定全域全覆盖详细规划编制单元。按照全域覆盖、边界闭合、上下贯穿、编管协同的原则，结合社区生活圈，统筹生产、生活、生态和安全，科学划定详细规划编制单元范围，确定单元类型、主导功能及指引内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城镇开发边界内</w:t>
            </w:r>
            <w:r>
              <w:rPr>
                <w:rFonts w:ascii="仿宋_GB2312" w:hAnsi="仿宋_GB2312" w:cs="仿宋_GB2312" w:eastAsia="仿宋_GB2312"/>
                <w:sz w:val="24"/>
              </w:rPr>
              <w:t>单元层面详细规划</w:t>
            </w:r>
          </w:p>
          <w:p>
            <w:pPr>
              <w:pStyle w:val="null3"/>
              <w:ind w:firstLine="480"/>
              <w:jc w:val="left"/>
            </w:pPr>
            <w:r>
              <w:rPr>
                <w:rFonts w:ascii="仿宋_GB2312" w:hAnsi="仿宋_GB2312" w:cs="仿宋_GB2312" w:eastAsia="仿宋_GB2312"/>
                <w:sz w:val="24"/>
              </w:rPr>
              <w:t>单元层面详细规划是开展国土空间详细规划编制管理和实施监督的重要空间载体和基础。单元层面详细规划应严格落实上位国土空间规划传导要求，并纳入相关专项规划空间管控内容，明确单元主导功能，细化用地类型，确定基础设施、公共服务设施和防灾减灾设施等相关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城镇开发边界内的实施层面详细规划</w:t>
            </w:r>
          </w:p>
          <w:p>
            <w:pPr>
              <w:pStyle w:val="null3"/>
              <w:ind w:firstLine="480"/>
              <w:jc w:val="both"/>
            </w:pPr>
            <w:r>
              <w:rPr>
                <w:rFonts w:ascii="仿宋_GB2312" w:hAnsi="仿宋_GB2312" w:cs="仿宋_GB2312" w:eastAsia="仿宋_GB2312"/>
                <w:sz w:val="24"/>
              </w:rPr>
              <w:t>实施层面详细规划是建设项目实施管理的基本依据。编制实施层面详细规划，应在落实详细规划单元各项管控要求的基础上，细化城镇建设具体内容，明确用地性质、容积率、建筑密度、建筑高度、绿地率等管控指标和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规划范围：规划范围为佛坪县详细规划单元划定和岳坝镇、石墩河镇、大河坝镇、陈家坝镇等</w:t>
            </w:r>
            <w:r>
              <w:rPr>
                <w:rFonts w:ascii="仿宋_GB2312" w:hAnsi="仿宋_GB2312" w:cs="仿宋_GB2312" w:eastAsia="仿宋_GB2312"/>
                <w:sz w:val="24"/>
              </w:rPr>
              <w:t>4个镇级单元及实施层面详细规划。</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规划成果要求</w:t>
            </w:r>
            <w:r>
              <w:rPr>
                <w:rFonts w:ascii="仿宋_GB2312" w:hAnsi="仿宋_GB2312" w:cs="仿宋_GB2312" w:eastAsia="仿宋_GB2312"/>
                <w:sz w:val="24"/>
              </w:rPr>
              <w:t>（</w:t>
            </w:r>
            <w:r>
              <w:rPr>
                <w:rFonts w:ascii="仿宋_GB2312" w:hAnsi="仿宋_GB2312" w:cs="仿宋_GB2312" w:eastAsia="仿宋_GB2312"/>
                <w:sz w:val="24"/>
              </w:rPr>
              <w:t>成果文件提供全套资料纸质档</w:t>
            </w:r>
            <w:r>
              <w:rPr>
                <w:rFonts w:ascii="仿宋_GB2312" w:hAnsi="仿宋_GB2312" w:cs="仿宋_GB2312" w:eastAsia="仿宋_GB2312"/>
                <w:sz w:val="24"/>
              </w:rPr>
              <w:t>2份，电子版1份）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佛坪县详细规划单元划定</w:t>
            </w:r>
          </w:p>
          <w:p>
            <w:pPr>
              <w:pStyle w:val="null3"/>
              <w:ind w:firstLine="480"/>
              <w:jc w:val="both"/>
            </w:pPr>
            <w:r>
              <w:rPr>
                <w:rFonts w:ascii="仿宋_GB2312" w:hAnsi="仿宋_GB2312" w:cs="仿宋_GB2312" w:eastAsia="仿宋_GB2312"/>
                <w:sz w:val="24"/>
              </w:rPr>
              <w:t>①详规单元划定报告</w:t>
            </w:r>
          </w:p>
          <w:p>
            <w:pPr>
              <w:pStyle w:val="null3"/>
              <w:ind w:firstLine="480"/>
              <w:jc w:val="both"/>
            </w:pPr>
            <w:r>
              <w:rPr>
                <w:rFonts w:ascii="仿宋_GB2312" w:hAnsi="仿宋_GB2312" w:cs="仿宋_GB2312" w:eastAsia="仿宋_GB2312"/>
                <w:sz w:val="24"/>
              </w:rPr>
              <w:t>②详规单元划定图件</w:t>
            </w:r>
          </w:p>
          <w:p>
            <w:pPr>
              <w:pStyle w:val="null3"/>
              <w:ind w:firstLine="480"/>
              <w:jc w:val="both"/>
            </w:pPr>
            <w:r>
              <w:rPr>
                <w:rFonts w:ascii="仿宋_GB2312" w:hAnsi="仿宋_GB2312" w:cs="仿宋_GB2312" w:eastAsia="仿宋_GB2312"/>
                <w:sz w:val="24"/>
              </w:rPr>
              <w:t>③详规单元数据库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城镇开发边界内单元层面详细规划</w:t>
            </w:r>
          </w:p>
          <w:p>
            <w:pPr>
              <w:pStyle w:val="null3"/>
              <w:ind w:firstLine="480"/>
              <w:jc w:val="both"/>
            </w:pPr>
            <w:r>
              <w:rPr>
                <w:rFonts w:ascii="仿宋_GB2312" w:hAnsi="仿宋_GB2312" w:cs="仿宋_GB2312" w:eastAsia="仿宋_GB2312"/>
                <w:sz w:val="24"/>
              </w:rPr>
              <w:t>①单元详规文本（含附表）</w:t>
            </w:r>
          </w:p>
          <w:p>
            <w:pPr>
              <w:pStyle w:val="null3"/>
              <w:ind w:firstLine="480"/>
              <w:jc w:val="both"/>
            </w:pPr>
            <w:r>
              <w:rPr>
                <w:rFonts w:ascii="仿宋_GB2312" w:hAnsi="仿宋_GB2312" w:cs="仿宋_GB2312" w:eastAsia="仿宋_GB2312"/>
                <w:sz w:val="24"/>
              </w:rPr>
              <w:t>②单元详规编制说明</w:t>
            </w:r>
          </w:p>
          <w:p>
            <w:pPr>
              <w:pStyle w:val="null3"/>
              <w:ind w:firstLine="480"/>
              <w:jc w:val="both"/>
            </w:pPr>
            <w:r>
              <w:rPr>
                <w:rFonts w:ascii="仿宋_GB2312" w:hAnsi="仿宋_GB2312" w:cs="仿宋_GB2312" w:eastAsia="仿宋_GB2312"/>
                <w:sz w:val="24"/>
              </w:rPr>
              <w:t>③单元详规图纸</w:t>
            </w:r>
          </w:p>
          <w:p>
            <w:pPr>
              <w:pStyle w:val="null3"/>
              <w:ind w:firstLine="480"/>
              <w:jc w:val="both"/>
            </w:pPr>
            <w:r>
              <w:rPr>
                <w:rFonts w:ascii="仿宋_GB2312" w:hAnsi="仿宋_GB2312" w:cs="仿宋_GB2312" w:eastAsia="仿宋_GB2312"/>
                <w:sz w:val="24"/>
              </w:rPr>
              <w:t>④单元详规数据库</w:t>
            </w:r>
          </w:p>
          <w:p>
            <w:pPr>
              <w:pStyle w:val="null3"/>
              <w:ind w:firstLine="480"/>
              <w:jc w:val="both"/>
            </w:pPr>
            <w:r>
              <w:rPr>
                <w:rFonts w:ascii="仿宋_GB2312" w:hAnsi="仿宋_GB2312" w:cs="仿宋_GB2312" w:eastAsia="仿宋_GB2312"/>
                <w:sz w:val="24"/>
              </w:rPr>
              <w:t>⑤附件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城镇开发边界内实施层面详细规划</w:t>
            </w:r>
          </w:p>
          <w:p>
            <w:pPr>
              <w:pStyle w:val="null3"/>
              <w:ind w:firstLine="480"/>
              <w:jc w:val="both"/>
            </w:pPr>
            <w:r>
              <w:rPr>
                <w:rFonts w:ascii="仿宋_GB2312" w:hAnsi="仿宋_GB2312" w:cs="仿宋_GB2312" w:eastAsia="仿宋_GB2312"/>
                <w:sz w:val="24"/>
              </w:rPr>
              <w:t>①实施详规文本（含附表）</w:t>
            </w:r>
          </w:p>
          <w:p>
            <w:pPr>
              <w:pStyle w:val="null3"/>
              <w:ind w:firstLine="480"/>
              <w:jc w:val="both"/>
            </w:pPr>
            <w:r>
              <w:rPr>
                <w:rFonts w:ascii="仿宋_GB2312" w:hAnsi="仿宋_GB2312" w:cs="仿宋_GB2312" w:eastAsia="仿宋_GB2312"/>
                <w:sz w:val="24"/>
              </w:rPr>
              <w:t>②实施详规编制说明</w:t>
            </w:r>
          </w:p>
          <w:p>
            <w:pPr>
              <w:pStyle w:val="null3"/>
              <w:ind w:firstLine="480"/>
              <w:jc w:val="both"/>
            </w:pPr>
            <w:r>
              <w:rPr>
                <w:rFonts w:ascii="仿宋_GB2312" w:hAnsi="仿宋_GB2312" w:cs="仿宋_GB2312" w:eastAsia="仿宋_GB2312"/>
                <w:sz w:val="24"/>
              </w:rPr>
              <w:t>③实施详规图纸</w:t>
            </w:r>
          </w:p>
          <w:p>
            <w:pPr>
              <w:pStyle w:val="null3"/>
              <w:ind w:firstLine="480"/>
              <w:jc w:val="both"/>
            </w:pPr>
            <w:r>
              <w:rPr>
                <w:rFonts w:ascii="仿宋_GB2312" w:hAnsi="仿宋_GB2312" w:cs="仿宋_GB2312" w:eastAsia="仿宋_GB2312"/>
                <w:sz w:val="24"/>
              </w:rPr>
              <w:t>④实施详规数据库</w:t>
            </w:r>
          </w:p>
          <w:p>
            <w:pPr>
              <w:pStyle w:val="null3"/>
              <w:ind w:firstLine="480"/>
              <w:jc w:val="both"/>
            </w:pPr>
            <w:r>
              <w:rPr>
                <w:rFonts w:ascii="仿宋_GB2312" w:hAnsi="仿宋_GB2312" w:cs="仿宋_GB2312" w:eastAsia="仿宋_GB2312"/>
                <w:sz w:val="24"/>
              </w:rPr>
              <w:t>⑤附件</w:t>
            </w:r>
          </w:p>
          <w:p>
            <w:pPr>
              <w:pStyle w:val="null3"/>
              <w:ind w:firstLine="480"/>
              <w:jc w:val="both"/>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技术标准要求（依照标准、参照标准）</w:t>
            </w:r>
          </w:p>
          <w:p>
            <w:pPr>
              <w:pStyle w:val="null3"/>
              <w:ind w:firstLine="249"/>
              <w:jc w:val="both"/>
            </w:pPr>
            <w:r>
              <w:rPr>
                <w:rFonts w:ascii="仿宋_GB2312" w:hAnsi="仿宋_GB2312" w:cs="仿宋_GB2312" w:eastAsia="仿宋_GB2312"/>
                <w:sz w:val="24"/>
              </w:rPr>
              <w:t>（</w:t>
            </w:r>
            <w:r>
              <w:rPr>
                <w:rFonts w:ascii="仿宋_GB2312" w:hAnsi="仿宋_GB2312" w:cs="仿宋_GB2312" w:eastAsia="仿宋_GB2312"/>
                <w:sz w:val="24"/>
              </w:rPr>
              <w:t>1）《中共中央 国务院关于建立国土空间规划体系并监督实施的若干意见》（2019年）；</w:t>
            </w:r>
          </w:p>
          <w:p>
            <w:pPr>
              <w:pStyle w:val="null3"/>
              <w:ind w:firstLine="249"/>
              <w:jc w:val="both"/>
            </w:pPr>
            <w:r>
              <w:rPr>
                <w:rFonts w:ascii="仿宋_GB2312" w:hAnsi="仿宋_GB2312" w:cs="仿宋_GB2312" w:eastAsia="仿宋_GB2312"/>
                <w:sz w:val="24"/>
              </w:rPr>
              <w:t>（</w:t>
            </w:r>
            <w:r>
              <w:rPr>
                <w:rFonts w:ascii="仿宋_GB2312" w:hAnsi="仿宋_GB2312" w:cs="仿宋_GB2312" w:eastAsia="仿宋_GB2312"/>
                <w:sz w:val="24"/>
              </w:rPr>
              <w:t>2）《中共中央 国务院关于进一步加强城市规划建设管理工作的若干意见》（2016年）；</w:t>
            </w:r>
          </w:p>
          <w:p>
            <w:pPr>
              <w:pStyle w:val="null3"/>
              <w:ind w:firstLine="249"/>
              <w:jc w:val="both"/>
            </w:pPr>
            <w:r>
              <w:rPr>
                <w:rFonts w:ascii="仿宋_GB2312" w:hAnsi="仿宋_GB2312" w:cs="仿宋_GB2312" w:eastAsia="仿宋_GB2312"/>
                <w:sz w:val="24"/>
              </w:rPr>
              <w:t>（</w:t>
            </w:r>
            <w:r>
              <w:rPr>
                <w:rFonts w:ascii="仿宋_GB2312" w:hAnsi="仿宋_GB2312" w:cs="仿宋_GB2312" w:eastAsia="仿宋_GB2312"/>
                <w:sz w:val="24"/>
              </w:rPr>
              <w:t>3）《自然资源部关于加强国土空间详细规划工作的通知》（自然资发〔2023〕43号）；</w:t>
            </w:r>
          </w:p>
          <w:p>
            <w:pPr>
              <w:pStyle w:val="null3"/>
              <w:ind w:firstLine="249"/>
              <w:jc w:val="both"/>
            </w:pPr>
            <w:r>
              <w:rPr>
                <w:rFonts w:ascii="仿宋_GB2312" w:hAnsi="仿宋_GB2312" w:cs="仿宋_GB2312" w:eastAsia="仿宋_GB2312"/>
                <w:sz w:val="24"/>
              </w:rPr>
              <w:t>（</w:t>
            </w:r>
            <w:r>
              <w:rPr>
                <w:rFonts w:ascii="仿宋_GB2312" w:hAnsi="仿宋_GB2312" w:cs="仿宋_GB2312" w:eastAsia="仿宋_GB2312"/>
                <w:sz w:val="24"/>
              </w:rPr>
              <w:t>4）《中共陕西省委 陕西省人民政府关于加快建立并监督实施陕西省国土空间规划体系的实施意见》（2020年）；</w:t>
            </w:r>
          </w:p>
          <w:p>
            <w:pPr>
              <w:pStyle w:val="null3"/>
              <w:ind w:firstLine="249"/>
              <w:jc w:val="both"/>
            </w:pPr>
            <w:r>
              <w:rPr>
                <w:rFonts w:ascii="仿宋_GB2312" w:hAnsi="仿宋_GB2312" w:cs="仿宋_GB2312" w:eastAsia="仿宋_GB2312"/>
                <w:sz w:val="24"/>
              </w:rPr>
              <w:t>（</w:t>
            </w:r>
            <w:r>
              <w:rPr>
                <w:rFonts w:ascii="仿宋_GB2312" w:hAnsi="仿宋_GB2312" w:cs="仿宋_GB2312" w:eastAsia="仿宋_GB2312"/>
                <w:sz w:val="24"/>
              </w:rPr>
              <w:t>5）《陕西省详细规划编制单元划定指南（试行）》（2024年）</w:t>
            </w:r>
          </w:p>
          <w:p>
            <w:pPr>
              <w:pStyle w:val="null3"/>
              <w:ind w:firstLine="249"/>
              <w:jc w:val="both"/>
            </w:pPr>
            <w:r>
              <w:rPr>
                <w:rFonts w:ascii="仿宋_GB2312" w:hAnsi="仿宋_GB2312" w:cs="仿宋_GB2312" w:eastAsia="仿宋_GB2312"/>
                <w:sz w:val="24"/>
              </w:rPr>
              <w:t>（</w:t>
            </w:r>
            <w:r>
              <w:rPr>
                <w:rFonts w:ascii="仿宋_GB2312" w:hAnsi="仿宋_GB2312" w:cs="仿宋_GB2312" w:eastAsia="仿宋_GB2312"/>
                <w:sz w:val="24"/>
              </w:rPr>
              <w:t>6）《陕西省城镇开发边界内详细规划编制指南（试行</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2024年）；</w:t>
            </w:r>
          </w:p>
          <w:p>
            <w:pPr>
              <w:pStyle w:val="null3"/>
              <w:ind w:firstLine="249"/>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）《陕西省城镇开发边界内详细规划数据库标准（试行）》（修订版）（</w:t>
            </w:r>
            <w:r>
              <w:rPr>
                <w:rFonts w:ascii="仿宋_GB2312" w:hAnsi="仿宋_GB2312" w:cs="仿宋_GB2312" w:eastAsia="仿宋_GB2312"/>
                <w:sz w:val="24"/>
              </w:rPr>
              <w:t>2025.4）；</w:t>
            </w:r>
          </w:p>
          <w:p>
            <w:pPr>
              <w:pStyle w:val="null3"/>
              <w:ind w:firstLine="249"/>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）《陕西省城市规划管理技术规定》（</w:t>
            </w:r>
            <w:r>
              <w:rPr>
                <w:rFonts w:ascii="仿宋_GB2312" w:hAnsi="仿宋_GB2312" w:cs="仿宋_GB2312" w:eastAsia="仿宋_GB2312"/>
                <w:sz w:val="24"/>
              </w:rPr>
              <w:t>2018版）；</w:t>
            </w:r>
          </w:p>
          <w:p>
            <w:pPr>
              <w:pStyle w:val="null3"/>
              <w:ind w:firstLine="249"/>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）《陕西省国土空间规划传导指引》（试行）（</w:t>
            </w:r>
            <w:r>
              <w:rPr>
                <w:rFonts w:ascii="仿宋_GB2312" w:hAnsi="仿宋_GB2312" w:cs="仿宋_GB2312" w:eastAsia="仿宋_GB2312"/>
                <w:sz w:val="24"/>
              </w:rPr>
              <w:t>2024年）。</w:t>
            </w:r>
          </w:p>
          <w:p>
            <w:pPr>
              <w:pStyle w:val="null3"/>
              <w:ind w:right="-60" w:firstLine="560"/>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22"/>
              <w:jc w:val="left"/>
            </w:pPr>
            <w:r>
              <w:rPr>
                <w:rFonts w:ascii="仿宋_GB2312" w:hAnsi="仿宋_GB2312" w:cs="仿宋_GB2312" w:eastAsia="仿宋_GB2312"/>
                <w:sz w:val="24"/>
              </w:rPr>
              <w:t>商务条款</w:t>
            </w:r>
          </w:p>
          <w:p>
            <w:pPr>
              <w:pStyle w:val="null3"/>
              <w:ind w:firstLine="42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合同履行期限</w:t>
            </w:r>
          </w:p>
          <w:p>
            <w:pPr>
              <w:pStyle w:val="null3"/>
              <w:ind w:firstLine="420"/>
              <w:jc w:val="both"/>
            </w:pPr>
            <w:r>
              <w:rPr>
                <w:rFonts w:ascii="仿宋_GB2312" w:hAnsi="仿宋_GB2312" w:cs="仿宋_GB2312" w:eastAsia="仿宋_GB2312"/>
                <w:sz w:val="24"/>
              </w:rPr>
              <w:t>自合同签订之日起</w:t>
            </w:r>
            <w:r>
              <w:rPr>
                <w:rFonts w:ascii="仿宋_GB2312" w:hAnsi="仿宋_GB2312" w:cs="仿宋_GB2312" w:eastAsia="仿宋_GB2312"/>
                <w:sz w:val="24"/>
              </w:rPr>
              <w:t>5个</w:t>
            </w:r>
            <w:r>
              <w:rPr>
                <w:rFonts w:ascii="仿宋_GB2312" w:hAnsi="仿宋_GB2312" w:cs="仿宋_GB2312" w:eastAsia="仿宋_GB2312"/>
                <w:sz w:val="24"/>
              </w:rPr>
              <w:t>月（具体以合同约定为准）</w:t>
            </w:r>
          </w:p>
          <w:p>
            <w:pPr>
              <w:pStyle w:val="null3"/>
              <w:ind w:firstLine="420"/>
              <w:jc w:val="left"/>
            </w:pPr>
            <w:r>
              <w:rPr>
                <w:rFonts w:ascii="仿宋_GB2312" w:hAnsi="仿宋_GB2312" w:cs="仿宋_GB2312" w:eastAsia="仿宋_GB2312"/>
                <w:sz w:val="24"/>
              </w:rPr>
              <w:t>2</w:t>
            </w:r>
            <w:r>
              <w:rPr>
                <w:rFonts w:ascii="仿宋_GB2312" w:hAnsi="仿宋_GB2312" w:cs="仿宋_GB2312" w:eastAsia="仿宋_GB2312"/>
                <w:sz w:val="24"/>
              </w:rPr>
              <w:t>.合同支付约定</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2.1自本项目合同签订后，达到付款条件起7日内，支付合同总金额的10.00%。</w:t>
            </w:r>
          </w:p>
          <w:p>
            <w:pPr>
              <w:pStyle w:val="null3"/>
              <w:ind w:firstLine="480"/>
              <w:jc w:val="both"/>
            </w:pPr>
            <w:r>
              <w:rPr>
                <w:rFonts w:ascii="仿宋_GB2312" w:hAnsi="仿宋_GB2312" w:cs="仿宋_GB2312" w:eastAsia="仿宋_GB2312"/>
                <w:sz w:val="24"/>
              </w:rPr>
              <w:t>2.2提交初步成果文件后，达到付款条件起7日内，支付合同总金额的50.00%。</w:t>
            </w:r>
          </w:p>
          <w:p>
            <w:pPr>
              <w:pStyle w:val="null3"/>
              <w:ind w:firstLine="480"/>
              <w:jc w:val="both"/>
            </w:pPr>
            <w:r>
              <w:rPr>
                <w:rFonts w:ascii="仿宋_GB2312" w:hAnsi="仿宋_GB2312" w:cs="仿宋_GB2312" w:eastAsia="仿宋_GB2312"/>
                <w:sz w:val="24"/>
              </w:rPr>
              <w:t>2.3提交最终成果文件并经验收合格后，达到付款条件起7日内，支付合同总金额的40.00%。</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售后服务要求</w:t>
            </w:r>
          </w:p>
          <w:p>
            <w:pPr>
              <w:pStyle w:val="null3"/>
              <w:ind w:firstLine="480"/>
              <w:jc w:val="both"/>
            </w:pPr>
            <w:r>
              <w:rPr>
                <w:rFonts w:ascii="仿宋_GB2312" w:hAnsi="仿宋_GB2312" w:cs="仿宋_GB2312" w:eastAsia="仿宋_GB2312"/>
                <w:sz w:val="24"/>
              </w:rPr>
              <w:t>3.1 供应商应积极配合采购人处理在项目实施过程中遇到的专业性问题。</w:t>
            </w:r>
          </w:p>
          <w:p>
            <w:pPr>
              <w:pStyle w:val="null3"/>
              <w:ind w:firstLine="480"/>
              <w:jc w:val="left"/>
            </w:pPr>
            <w:r>
              <w:rPr>
                <w:rFonts w:ascii="仿宋_GB2312" w:hAnsi="仿宋_GB2312" w:cs="仿宋_GB2312" w:eastAsia="仿宋_GB2312"/>
                <w:sz w:val="24"/>
              </w:rPr>
              <w:t>3.2 供应商有责任为采购人提供长期免费技术服务支持。服务期（含后续服务期）内须提供上门服务，须提供常设每周5×8小时服务专线和免费技术支持。对采购人的服务通知，供应商在接报后1小时内响应，12小时内到达现场，一般问题48小时内处理完毕。非因规划成果质量问题需要供应商到场服务的，由采购人与供应商另行商议有偿服务费用。</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shd w:fill="FFFFFF" w:val="clear"/>
              </w:rPr>
              <w:t>验收方法及标准</w:t>
            </w:r>
          </w:p>
          <w:p>
            <w:pPr>
              <w:pStyle w:val="null3"/>
              <w:ind w:firstLine="480"/>
              <w:jc w:val="both"/>
            </w:pPr>
            <w:r>
              <w:rPr>
                <w:rFonts w:ascii="仿宋_GB2312" w:hAnsi="仿宋_GB2312" w:cs="仿宋_GB2312" w:eastAsia="仿宋_GB2312"/>
                <w:sz w:val="24"/>
              </w:rPr>
              <w:t xml:space="preserve">4.1 </w:t>
            </w:r>
            <w:r>
              <w:rPr>
                <w:rFonts w:ascii="仿宋_GB2312" w:hAnsi="仿宋_GB2312" w:cs="仿宋_GB2312" w:eastAsia="仿宋_GB2312"/>
                <w:sz w:val="24"/>
              </w:rPr>
              <w:t>达到国家、省、市、县相关规范为验收标准。</w:t>
            </w:r>
          </w:p>
          <w:p>
            <w:pPr>
              <w:pStyle w:val="null3"/>
              <w:ind w:firstLine="480"/>
              <w:jc w:val="both"/>
            </w:pPr>
            <w:r>
              <w:rPr>
                <w:rFonts w:ascii="仿宋_GB2312" w:hAnsi="仿宋_GB2312" w:cs="仿宋_GB2312" w:eastAsia="仿宋_GB2312"/>
                <w:sz w:val="24"/>
              </w:rPr>
              <w:t xml:space="preserve">4.2 </w:t>
            </w:r>
            <w:r>
              <w:rPr>
                <w:rFonts w:ascii="仿宋_GB2312" w:hAnsi="仿宋_GB2312" w:cs="仿宋_GB2312" w:eastAsia="仿宋_GB2312"/>
                <w:sz w:val="24"/>
              </w:rPr>
              <w:t>最终成果以通过专家评审和相关部门批复为准。</w:t>
            </w:r>
          </w:p>
          <w:p>
            <w:pPr>
              <w:pStyle w:val="null3"/>
              <w:ind w:firstLine="420"/>
              <w:jc w:val="left"/>
            </w:pPr>
            <w:r>
              <w:rPr>
                <w:rFonts w:ascii="仿宋_GB2312" w:hAnsi="仿宋_GB2312" w:cs="仿宋_GB2312" w:eastAsia="仿宋_GB2312"/>
                <w:sz w:val="24"/>
              </w:rPr>
              <w:t>5.</w:t>
            </w:r>
            <w:r>
              <w:rPr>
                <w:rFonts w:ascii="仿宋_GB2312" w:hAnsi="仿宋_GB2312" w:cs="仿宋_GB2312" w:eastAsia="仿宋_GB2312"/>
                <w:sz w:val="24"/>
              </w:rPr>
              <w:t>合同的变更、中止、终止</w:t>
            </w:r>
          </w:p>
          <w:p>
            <w:pPr>
              <w:pStyle w:val="null3"/>
              <w:ind w:firstLine="480"/>
              <w:jc w:val="left"/>
            </w:pPr>
            <w:r>
              <w:rPr>
                <w:rFonts w:ascii="仿宋_GB2312" w:hAnsi="仿宋_GB2312" w:cs="仿宋_GB2312" w:eastAsia="仿宋_GB2312"/>
                <w:sz w:val="24"/>
              </w:rPr>
              <w:t>合同一经签订，不得擅自变更、中止或者终止合同。对确需变更、调整或者中止、终止合同的，由双方协商解决。</w:t>
            </w:r>
          </w:p>
          <w:p>
            <w:pPr>
              <w:pStyle w:val="null3"/>
              <w:ind w:firstLine="420"/>
              <w:jc w:val="left"/>
            </w:pPr>
            <w:r>
              <w:rPr>
                <w:rFonts w:ascii="仿宋_GB2312" w:hAnsi="仿宋_GB2312" w:cs="仿宋_GB2312" w:eastAsia="仿宋_GB2312"/>
                <w:sz w:val="24"/>
              </w:rPr>
              <w:t>6.</w:t>
            </w:r>
            <w:r>
              <w:rPr>
                <w:rFonts w:ascii="仿宋_GB2312" w:hAnsi="仿宋_GB2312" w:cs="仿宋_GB2312" w:eastAsia="仿宋_GB2312"/>
                <w:sz w:val="24"/>
              </w:rPr>
              <w:t>合同争议的解决</w:t>
            </w:r>
          </w:p>
          <w:p>
            <w:pPr>
              <w:pStyle w:val="null3"/>
              <w:ind w:firstLine="480"/>
              <w:jc w:val="both"/>
            </w:pPr>
            <w:r>
              <w:rPr>
                <w:rFonts w:ascii="仿宋_GB2312" w:hAnsi="仿宋_GB2312" w:cs="仿宋_GB2312" w:eastAsia="仿宋_GB2312"/>
                <w:sz w:val="24"/>
              </w:rPr>
              <w:t>合同履行期间，若双方发生争议，可协商或由有关部门调解解决，协商或调解不成的，可向甲方所在地人民法院提起诉讼。</w:t>
            </w:r>
          </w:p>
          <w:p>
            <w:pPr>
              <w:pStyle w:val="null3"/>
              <w:ind w:firstLine="480"/>
              <w:jc w:val="both"/>
            </w:pPr>
            <w:r>
              <w:rPr>
                <w:rFonts w:ascii="仿宋_GB2312" w:hAnsi="仿宋_GB2312" w:cs="仿宋_GB2312" w:eastAsia="仿宋_GB2312"/>
                <w:sz w:val="24"/>
              </w:rPr>
              <w:t>7.违约责任</w:t>
            </w:r>
          </w:p>
          <w:p>
            <w:pPr>
              <w:pStyle w:val="null3"/>
              <w:ind w:firstLine="480"/>
              <w:jc w:val="left"/>
            </w:pPr>
            <w:r>
              <w:rPr>
                <w:rFonts w:ascii="仿宋_GB2312" w:hAnsi="仿宋_GB2312" w:cs="仿宋_GB2312" w:eastAsia="仿宋_GB2312"/>
                <w:sz w:val="24"/>
              </w:rPr>
              <w:t>依据《中华人民共和国民法典》《中华人民共和国政府采购法》的相关条款和本合同约定的相关条款执行。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具有履行合同所必需的专业技术能力人员，满足磋商文件要求，满足项目需求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具有履行合同所必需的设施设备，满足磋商文件要求，满足项目需求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自合同签订之日起5个月（具体以合同约定为准）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达到国家、省、市、县相关规范为验收标准，最终成果以通过专家评审和相关部门批复为准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自本项目合同签订后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提交初步成果文件后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提交最终成果文件并经验收合格后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违约责任依据《中华人民共和国民法典》《中华人民共和国政府采购法》的相关条款和本合同约定的相关条款执行。 合同履行期间，若双方发生争议，可协商或由有关部门调解解决，协商或调解不成的，可向甲方所在地人民法院提起诉讼。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中标供应商需要在领取中标通知书时向代理机构提供纸质版响应文件，正本壹份、副本贰份、电子版壹份，若线上电子响应文件与纸质响应文件不一致的，以线上电子响应文件为准；若正本和副本不符，以正本为准。 纸质版文件提交地址为：陕西省汉中市洋县南环路与真符路十字向南200米太阳谷.康郡（东大门）康诚建设有限公司（一楼代理部）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投标的，须出具法人身份证明及法定代表人身份证，并与营业执照上信息一致。法定代表人授权委托人参加投标的，须出具法定代表人授权委托书及被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供应商须具备行政主管部门颁发的城乡规划编制乙级及以上资质；供应商需在项目电子化交易系统中按要求上传相应证明文件并进行电子签章。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供应商应具有健全的财务会计制度、履行合同所需的设备和专业技术能力、依法缴纳税收和社会保障资金，以及参加本项目采购活动(以开启时间为准)前3年内经营活动无重大违法记录，供应商应按照汉中市财政局&lt;&lt;关于全面推行政府采购供应商基本资格条件承诺制的通知&gt;&gt;(汉采办采管(2024)20号)文件要求，供应商提供&lt;&lt;汉中市政府采购供应商资格承诺函&gt;&g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本项目不接受联合体；供应商须提供《非联合体投标书面声明》（格式自拟）。供应商需在项目电子化交易系统中按要求上传相应证明文件并进行电子签章。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（1）响应文件的签署盖章：响应文件上法定代表人或授权代表人的签字或印章齐全并加盖公章；（2）响应文件格式：应符合“响应文件格式 ”要求；（3）报价唯一：只有一个有效报价，不得提交选择性报价，且报价不超过最高限价。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供应商应提交的相关资格证明材料.pdf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采购文件提出的技术和服务要求。（3）服务期限：应满足采购文件中要求；（4）服务地点：应满足采购文件中要求；（5）投标有效期:应满足采购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供应商应提交的相关资格证明材料.pdf 服务方案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根据供应商针对本项目的理解程度进行评审，对项目的理解应包含：①对相关政策解读和基本情况分析；②对项目背景的研判；③专业资料的搜集与内容梳理；④实地调研与考察方案；⑤对发展现状的认识； 二、评审标准：①完整性：内容全面，对评审内容中的各项要求有详细描述； ②可行性：切合本项目实际情况，有清晰的方案； ③专业性：逻辑性强，具有专业含量和水准。 ④针对性：紧扣项目实际情况需求，内容切实合理； 三、赋分标准（满分20分）： ①对相关政策解读和基本情况分析：每满足一个评审标准的得1分，满分4分；每有一处有缺陷或瑕疵扣1分，扣完为止。 ②对项目背景的研判：每满足一个评审标准的得1分，满分4分；每有一处有缺陷或瑕疵扣1分，扣完为止。 ③专业资料的搜集与内容梳理：每满足一个评审标准的得1分，满分4分；每有一处有缺陷或瑕疵扣1分，扣完为止。 ④实地调研与考察方案：每满足一个评审标准的得1分，满分4分；每有一处有缺陷或瑕疵扣1分，扣完为止。 ⑤对发展现状的认识：每满足一个评审标准的得1分，满分4分；每有一处有缺陷或瑕疵扣1分，扣完为止。 （缺陷或瑕疵是指以下任意一种情况：方案内容不符合行业实际或国家法规、政策；或方案内容生搬硬造，与实际情况不符，存在偏差；或方案内容不完善；或存在与项目无关的文字内容；或内容不适用项目实际情况；或内容逻辑漏洞或原理错误；或方案内容过于简略、内容缺项或缺少关键点、只有简单描述无实质性内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一、评审内容：根据供应商针对本项目提供的总体服务方案进行评审，该方案包含：①项目实施方案；②总体工作思路；③总体工作计划；④具体工作目标及内容； 二、评审标准：①完整性：内容全面，对评审内容中的各项要求有详细描述； ②可行性：切合本项目实际情况，有清晰的方案； ③专业性：逻辑性强，具有专业含量和水准。 ④针对性：紧扣项目实际情况需求，内容切实合理； 三、赋分标准（满分24分）： ①项目实施方案：每满足一个评审标准的得1.5分，满分6分；每有一处有缺陷或瑕疵扣1分，扣完为止。 ②总体工作思路：每满足一个评审标准的得1.5分，满分6分；每有一处有缺陷或瑕疵扣1分，扣完为止。 ③总体工作计划：每满足一个评审标准的得1.5分，满分6分；每有一处有缺陷或瑕疵扣1分，扣完为止。 ④具体工作目标及内容：每满足一个评审标准的得1.5分，满分6分；每有一处有缺陷或瑕疵扣1分，扣完为止。 （缺陷或瑕疵是指以下任意一种情况：方案内容不符合行业实际或国家法规、政策；或方案内容生搬硬造，与实际情况不符，存在偏差；或方案内容不完善；或存在与项目无关的文字内容；或内容不适用项目实际情况；或内容逻辑漏洞或原理错误；或方案内容过于简略、内容缺项或缺少关键点、只有简单描述无实质性内容。</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一、评审内容：根据供应商针对本项目提供的质量保证措施进行评审，该方案包含：①服务质量目标；②针对本项目质量管理制度；③成果文件质量保障措施；④内部管控流程合理； 二、评审标准：①完整性：内容全面，对评审内容中的各项要求有详细描述； ②可行性：切合本项目实际情况，有清晰的方案； ③专业性：逻辑性强，具有专业含量和水准。 ④针对性：紧扣项目实际情况需求，内容切实合理； 三、赋分标准（满分8分）： ①服务质量目标：每满足一个评审标准的得0.5分，满分2分；每有一处有缺陷或瑕疵扣0.5分，扣完为止。 ②针对本项目质量管理制度：每满足一个评审标准的得0.5分，满分2分；每有一处有缺陷或瑕疵扣0.5分，扣完为止。 ③成果文件质量保障措施：每满足一个评审标准的得0.5分，满分2分；每有一处有缺陷或瑕疵扣0.5分，扣完为止。 ④内部管控流程合理：每满足一个评审标准的得0.5分，满分2分；每有一处有缺陷或瑕疵扣0.5分，扣完为止。 （缺陷或瑕疵是指以下任意一种情况：方案内容不符合行业实际或国家法规、政策；或方案内容生搬硬造，与实际情况不符，存在偏差；或方案内容不完善；或存在与项目无关的文字内容；或内容不适用项目实际情况；或内容逻辑漏洞或原理错误；或方案内容过于简略、内容缺项或缺少关键点、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一、评审内容：根据供应商针对本项目提供的进度保障方案进行评审，该方案包含：①进度计划保障方案；②提供合理的工作计划及时间节点；③项目进度保障措施；④成果文件时效保证；⑤突发状况应急预案； 二、评审标准： ①完整性：内容全面，对评审内容中的各项要求有详细描述； ②可行性：切合本项目实际情况，有清晰的方案； ③专业性：逻辑性强，具有专业含量和水准。 ④针对性：紧扣项目实际情况需求，内容切实合理； 三、赋分标准（满分10分）： ①进度计划保障方案：每满足一个评审标准的得0.5分，满分2分；每有一处有缺陷或瑕疵扣0.5分，扣完为止。 ②提供合理的工作计划及时间节点：每满足一个评审标准的得0.5分，满分2分；每有一处有缺陷或瑕疵扣0.5分，扣完为止。 ③项目进度保障措施：每满足一个评审标准的得0.5分，满分2分；每有一处有缺陷或瑕疵扣0.5分，扣完为止。 ④成果文件时效保证：每满足一个评审标准的得0.5分，满分2分；每有一处有缺陷或瑕疵扣0.5分，扣完为止。 ⑤突发状况应急预案；每满足一个评审标准的得0.5分，满分2分；每有一处有缺陷或瑕疵扣0.5分，扣完为止。 （缺陷或瑕疵是指以下任意一种情况：方案内容不符合行业实际或国家法规、政策；或方案内容生搬硬造，与实际情况不符，存在偏差；或方案内容不完善；或存在与项目无关的文字内容；或内容不适用项目实际情况；或内容逻辑漏洞或原理错误；或方案内容过于简略、内容缺项或缺少关键点、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实质性的合理化建议。建议清晰、合理、完整、细节考虑到位且切实可行，得6分；建议简单、可行性存在一定瑕疵，得4分；建议存在严重缺漏，不具备合理性、可行性，得2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根据供应商针对本项目提供的管理制度进行评审，该方案包含：①岗位制度：具有岗位职责、服务质量标准；②内控制度：具有管理组织机构、内部管理制度、监督机制；③人员管理制度：具有员工日常管理办法、奖惩措施； 二、评审标准：①完整性：内容全面，对评审内容中的各项要求有详细描述； ②可行性：切合本项目实际情况，有清晰的方案； ③专业性：逻辑性强，具有专业含量和水准。 ④针对性：紧扣项目实际情况需求，内容切实合理； 三、赋分标准（满分6分）： ①岗位制度：每满足一个评审标准的得0.5分，满分2分；每有一处有缺陷或瑕疵扣0.5分，扣完为止。 ②内控制度：每满足一个评审标准的得0.5分，满分2分；每有一处有缺陷或瑕疵扣0.5分，扣完为止。 ③人员管理制度：每满足一个评审标准的得0.5分，满分2分；每有一处有缺陷或瑕疵扣0.5分，扣完为止。 （缺陷或瑕疵是指以下任意一种情况：方案内容不符合行业实际或国家法规、政策；或方案内容生搬硬造，与实际情况不符，存在偏差；或方案内容不完善；或存在与项目无关的文字内容；或内容不适用项目实际情况；或内容逻辑漏洞或原理错误；或方案内容过于简略、内容缺项或缺少关键点、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一、评审内容：根据供应商针对本项目提供的保密措施进行评审，该方案包含：①保密工作机制；②保密条款；③保密管理制度；④重要环节控制；⑤项目信息保密管理方案； 二、评审标准：①完整性：内容全面，对评审内容中的各项要求有详细描述； ②可行性：切合本项目实际情况，有清晰的方案； ③专业性：逻辑性强，具有专业含量和水准。 ④针对性：紧扣项目实际情况需求，内容切实合理； 三、赋分标准（满分10分）： ①保密工作机制：每满足一个评审标准的得0.5分，满分2分；每有一处有缺陷或瑕疵扣0.5分，扣完为止。 ②保密条款：每满足一个评审标准的得0.5分，满分2分；每有一处有缺陷或瑕疵扣0.5分，扣完为止。 ③保密管理制度：每满足一个评审标准的得0.5分，满分2分；每有一处有缺陷或瑕疵扣0.5分，扣完为止。 ④重要环节控制：每满足一个评审标准的得0.5分，满分2分；每有一处有缺陷或瑕疵扣0.5分，扣完为止。 ⑤项目信息保密管理方案：每满足一个评审标准的得0.5分，满分2分；每有一处有缺陷或瑕疵扣0.5分，扣完为止。 （缺陷或瑕疵是指以下任意一种情况：方案内容不符合行业实际或国家法规、政策；或方案内容生搬硬造，与实际情况不符，存在偏差；或方案内容不完善；或存在与项目无关的文字内容；或内容不适用项目实际情况；或内容逻辑漏洞或原理错误；或方案内容过于简略、内容缺项或缺少关键点、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根据供应商针对本项目提供的人员配备进行评审。 项目团队人员（6分）：具有城乡规划或土地规划相关高级职称或注册城乡规划师证书，每提供壹份得2分；具有城乡规划或土地规划相关中级职称的人员，每提供壹份得1分；该项满分为6分。 注：供应商应提供上述人员身份证、职称证或资格证，未提供或提供不全不得分，且以上同一人员的证书不可重复得分。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满足磋商文件要求且磋商价格最低的最终磋商报价为磋商基准价，其价格分为满分。最终磋商报价高于评标基准价的磋商供应商的价格分按照下列公式计算：磋商报价得分=（磋商基准价/磋商报价）×价格分值。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