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版本号：ZHZB-2025（GC）07020251223002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袁家庄街道办村污水治理项目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ZHZB-2025（GC）070</w:t>
      </w:r>
      <w:r>
        <w:br/>
      </w:r>
      <w:r>
        <w:br/>
      </w:r>
      <w:r>
        <w:br/>
      </w:r>
    </w:p>
    <w:p>
      <w:pPr>
        <w:pStyle w:val="null3"/>
        <w:jc w:val="center"/>
        <w:outlineLvl w:val="2"/>
      </w:pPr>
      <w:r>
        <w:rPr>
          <w:rFonts w:ascii="仿宋_GB2312" w:hAnsi="仿宋_GB2312" w:cs="仿宋_GB2312" w:eastAsia="仿宋_GB2312"/>
          <w:sz w:val="28"/>
          <w:b/>
        </w:rPr>
        <w:t>佛坪县袁家庄街道办事处</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佛坪县袁家庄街道办事处</w:t>
      </w:r>
      <w:r>
        <w:rPr>
          <w:rFonts w:ascii="仿宋_GB2312" w:hAnsi="仿宋_GB2312" w:cs="仿宋_GB2312" w:eastAsia="仿宋_GB2312"/>
        </w:rPr>
        <w:t>委托，拟对</w:t>
      </w:r>
      <w:r>
        <w:rPr>
          <w:rFonts w:ascii="仿宋_GB2312" w:hAnsi="仿宋_GB2312" w:cs="仿宋_GB2312" w:eastAsia="仿宋_GB2312"/>
        </w:rPr>
        <w:t>袁家庄街道办村污水治理项目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ZHZB-2025（GC）070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袁家庄街道办村污水治理项目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本项目位于佛坪县袁家庄街道办，项目主要建设内容破除混凝土路面、埋设排污管道、恢复混凝土道路、修检查井等。具体详见工程量清单及图纸。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采购包1（袁家庄街道办村污水治理项目）：属于专门面向中小企业采购。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法律、行政法规规定的其他条件：法律、行政法规规定的其他条件:①供应商须具备市政公用工程施工总承包三级及以上资质，且具有合格有效的安全生产许可证;②拟派项目经理须提供市政专业贰级(含贰级)以上注册建造师证书及安全生产考核合格证(B证)，且无在建工程(提供相关平台官网截图或无在建承诺书)；③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3、承诺函：承诺函：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4、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佛坪县袁家庄街道办事处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佛坪县东岳殿村三组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0916-8916509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采购包1：2,352,645.41元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开户名称：陕西致恒招标代理有限公司</w:t>
            </w:r>
          </w:p>
          <w:p>
            <w:pPr>
              <w:pStyle w:val="null3"/>
            </w:pPr>
            <w:r>
              <w:rPr>
                <w:rFonts w:ascii="仿宋_GB2312" w:hAnsi="仿宋_GB2312" w:cs="仿宋_GB2312" w:eastAsia="仿宋_GB2312"/>
              </w:rPr>
              <w:t>开户银行：中国建设银行股份有限公司西安太华北路支行</w:t>
            </w:r>
          </w:p>
          <w:p>
            <w:pPr>
              <w:pStyle w:val="null3"/>
            </w:pPr>
            <w:r>
              <w:rPr>
                <w:rFonts w:ascii="仿宋_GB2312" w:hAnsi="仿宋_GB2312" w:cs="仿宋_GB2312" w:eastAsia="仿宋_GB2312"/>
              </w:rPr>
              <w:t>银行账号：61050110629600000259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代理服务费收费标准：依据《关于进一步放开建设项目专业服务价格的通知》（发改价格 【2015】299号），参照《招标代理服务收费管理暂行办法的通知》(计价格〔2002〕1980号 )、《关于招标代理服务收费有关问题的通知》（发改办价格〔2003〕857号）以及《关于降低部分建设项目收费标准规范收费行为等有关问题的通知》(发改价格〔2011〕534号)，以工程收费标准收取招标代理服务费。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佛坪县袁家庄街道办事处</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佛坪县袁家庄街道办事处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佛坪县袁家庄街道办事处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依照竞争性磋商文件、相关法律法规要求、行业标准及采购人要求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2,352,645.41</w:t>
      </w:r>
    </w:p>
    <w:p>
      <w:pPr>
        <w:pStyle w:val="null3"/>
      </w:pPr>
      <w:r>
        <w:rPr>
          <w:rFonts w:ascii="仿宋_GB2312" w:hAnsi="仿宋_GB2312" w:cs="仿宋_GB2312" w:eastAsia="仿宋_GB2312"/>
        </w:rPr>
        <w:t>采购包最高限价（元）: 2,352,645.41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袁家庄街道办村污水治理项目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2,352,645.41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标的名称：袁家庄街道办村污水治理项目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（一）工程量清单</w:t>
            </w:r>
            <w:r>
              <w:rPr>
                <w:rFonts w:ascii="仿宋_GB2312" w:hAnsi="仿宋_GB2312" w:cs="仿宋_GB2312" w:eastAsia="仿宋_GB2312"/>
                <w:sz w:val="28"/>
                <w:b/>
              </w:rPr>
              <w:t>编制说明</w:t>
            </w:r>
          </w:p>
          <w:p>
            <w:pPr>
              <w:pStyle w:val="null3"/>
              <w:jc w:val="both"/>
            </w:pPr>
            <w:r>
              <w:rPr>
                <w:rFonts w:ascii="仿宋_GB2312" w:hAnsi="仿宋_GB2312" w:cs="仿宋_GB2312" w:eastAsia="仿宋_GB2312"/>
                <w:sz w:val="28"/>
                <w:b/>
              </w:rPr>
              <w:t xml:space="preserve">    一、工程概况</w:t>
            </w:r>
          </w:p>
          <w:p>
            <w:pPr>
              <w:pStyle w:val="null3"/>
              <w:ind w:firstLine="560"/>
              <w:jc w:val="both"/>
            </w:pPr>
            <w:r>
              <w:rPr>
                <w:rFonts w:ascii="仿宋_GB2312" w:hAnsi="仿宋_GB2312" w:cs="仿宋_GB2312" w:eastAsia="仿宋_GB2312"/>
                <w:sz w:val="28"/>
              </w:rPr>
              <w:t>本项目位于佛坪县袁家庄街道办，项目主要建设内容破除混凝土路面、埋设排污管道、恢复混凝土道路、修检查井等。</w:t>
            </w:r>
          </w:p>
          <w:p>
            <w:pPr>
              <w:pStyle w:val="null3"/>
              <w:jc w:val="both"/>
            </w:pPr>
            <w:r>
              <w:rPr>
                <w:rFonts w:ascii="仿宋_GB2312" w:hAnsi="仿宋_GB2312" w:cs="仿宋_GB2312" w:eastAsia="仿宋_GB2312"/>
                <w:sz w:val="28"/>
                <w:b/>
              </w:rPr>
              <w:t xml:space="preserve">    二、编制依据</w:t>
            </w:r>
          </w:p>
          <w:p>
            <w:pPr>
              <w:pStyle w:val="null3"/>
              <w:ind w:firstLine="560"/>
              <w:jc w:val="both"/>
            </w:pPr>
            <w:r>
              <w:rPr>
                <w:rFonts w:ascii="仿宋_GB2312" w:hAnsi="仿宋_GB2312" w:cs="仿宋_GB2312" w:eastAsia="仿宋_GB2312"/>
                <w:sz w:val="28"/>
              </w:rPr>
              <w:t>1、袁家庄街道村污水配套项目设计图纸;</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、《陕西省建设工程工程量清单计价规则</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《陕西省建筑、装饰消耗量定额</w:t>
            </w:r>
            <w:r>
              <w:rPr>
                <w:rFonts w:ascii="仿宋_GB2312" w:hAnsi="仿宋_GB2312" w:cs="仿宋_GB2312" w:eastAsia="仿宋_GB2312"/>
                <w:sz w:val="28"/>
              </w:rPr>
              <w:t>(2025)》、《陕西省安装工程消耗量定额(2025)》、《陕西省建设工程消耗量定额(2025)补充定额》</w:t>
            </w:r>
            <w:r>
              <w:rPr>
                <w:rFonts w:ascii="仿宋_GB2312" w:hAnsi="仿宋_GB2312" w:cs="仿宋_GB2312" w:eastAsia="仿宋_GB2312"/>
                <w:sz w:val="28"/>
              </w:rPr>
              <w:t>、</w:t>
            </w:r>
            <w:r>
              <w:rPr>
                <w:rFonts w:ascii="仿宋_GB2312" w:hAnsi="仿宋_GB2312" w:cs="仿宋_GB2312" w:eastAsia="仿宋_GB2312"/>
                <w:sz w:val="28"/>
              </w:rPr>
              <w:t>《陕西省市政园林绿化工程消耗量定额</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《陕西省建筑、市政、园林绿化工程价目表</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5、《陕西省建设工程工程量清单计价费率表(2025)》;</w:t>
            </w:r>
          </w:p>
          <w:p>
            <w:pPr>
              <w:pStyle w:val="null3"/>
              <w:ind w:firstLine="560"/>
              <w:jc w:val="both"/>
            </w:pPr>
            <w:r>
              <w:rPr>
                <w:rFonts w:ascii="仿宋_GB2312" w:hAnsi="仿宋_GB2312" w:cs="仿宋_GB2312" w:eastAsia="仿宋_GB2312"/>
                <w:sz w:val="28"/>
              </w:rPr>
              <w:t>6、主要材料价格按《汉中建设工程造价信息(2025)》第10期佛坪县价格》及当地市场价综合考虑计入;</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采用广联达云计价</w:t>
            </w:r>
            <w:r>
              <w:rPr>
                <w:rFonts w:ascii="仿宋_GB2312" w:hAnsi="仿宋_GB2312" w:cs="仿宋_GB2312" w:eastAsia="仿宋_GB2312"/>
                <w:sz w:val="28"/>
              </w:rPr>
              <w:t>GCCP6。</w:t>
            </w:r>
          </w:p>
          <w:p>
            <w:pPr>
              <w:pStyle w:val="null3"/>
              <w:jc w:val="both"/>
            </w:pPr>
            <w:r>
              <w:rPr>
                <w:rFonts w:ascii="仿宋_GB2312" w:hAnsi="仿宋_GB2312" w:cs="仿宋_GB2312" w:eastAsia="仿宋_GB2312"/>
                <w:sz w:val="28"/>
                <w:b/>
              </w:rPr>
              <w:t xml:space="preserve">    三、有关问题说明</w:t>
            </w:r>
          </w:p>
          <w:p>
            <w:pPr>
              <w:pStyle w:val="null3"/>
              <w:ind w:firstLine="560"/>
              <w:jc w:val="both"/>
            </w:pPr>
            <w:r>
              <w:rPr>
                <w:rFonts w:ascii="仿宋_GB2312" w:hAnsi="仿宋_GB2312" w:cs="仿宋_GB2312" w:eastAsia="仿宋_GB2312"/>
                <w:sz w:val="28"/>
              </w:rPr>
              <w:t>1、混凝土均按商品砼计入，砂浆按预拌砂浆计算。</w:t>
            </w:r>
          </w:p>
          <w:p>
            <w:pPr>
              <w:pStyle w:val="null3"/>
              <w:ind w:firstLine="560"/>
              <w:jc w:val="both"/>
            </w:pPr>
            <w:r>
              <w:rPr>
                <w:rFonts w:ascii="仿宋_GB2312" w:hAnsi="仿宋_GB2312" w:cs="仿宋_GB2312" w:eastAsia="仿宋_GB2312"/>
                <w:sz w:val="28"/>
              </w:rPr>
              <w:t>2、施工时若与实际不相符，竣工结算时据实调整。</w:t>
            </w:r>
          </w:p>
          <w:p>
            <w:pPr>
              <w:pStyle w:val="null3"/>
              <w:jc w:val="both"/>
            </w:pPr>
            <w:r>
              <w:rPr>
                <w:rFonts w:ascii="仿宋_GB2312" w:hAnsi="仿宋_GB2312" w:cs="仿宋_GB2312" w:eastAsia="仿宋_GB2312"/>
                <w:sz w:val="28"/>
                <w:b/>
              </w:rPr>
              <w:t xml:space="preserve">    四、编制软件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广联达</w:t>
            </w:r>
            <w:r>
              <w:rPr>
                <w:rFonts w:ascii="仿宋_GB2312" w:hAnsi="仿宋_GB2312" w:cs="仿宋_GB2312" w:eastAsia="仿宋_GB2312"/>
                <w:sz w:val="28"/>
              </w:rPr>
              <w:t>7.0</w:t>
            </w:r>
          </w:p>
          <w:p>
            <w:pPr>
              <w:pStyle w:val="null3"/>
              <w:jc w:val="both"/>
            </w:pPr>
            <w:r>
              <w:rPr>
                <w:rFonts w:ascii="仿宋_GB2312" w:hAnsi="仿宋_GB2312" w:cs="仿宋_GB2312" w:eastAsia="仿宋_GB2312"/>
                <w:sz w:val="28"/>
                <w:b/>
              </w:rPr>
              <w:t>（二）工程量清单（另附）</w:t>
            </w:r>
          </w:p>
          <w:p>
            <w:pPr>
              <w:pStyle w:val="null3"/>
              <w:jc w:val="both"/>
            </w:pPr>
            <w:r>
              <w:rPr>
                <w:rFonts w:ascii="仿宋_GB2312" w:hAnsi="仿宋_GB2312" w:cs="仿宋_GB2312" w:eastAsia="仿宋_GB2312"/>
                <w:sz w:val="28"/>
                <w:b/>
              </w:rPr>
              <w:t>（三）图纸（另附）</w:t>
            </w:r>
          </w:p>
          <w:p>
            <w:pPr>
              <w:pStyle w:val="null3"/>
              <w:jc w:val="both"/>
            </w:pPr>
            <w:r>
              <w:rPr>
                <w:rFonts w:ascii="仿宋_GB2312" w:hAnsi="仿宋_GB2312" w:cs="仿宋_GB2312" w:eastAsia="仿宋_GB2312"/>
                <w:sz w:val="28"/>
                <w:b/>
              </w:rPr>
              <w:t>★（四）商务条款</w:t>
            </w:r>
          </w:p>
          <w:p>
            <w:pPr>
              <w:pStyle w:val="null3"/>
              <w:ind w:firstLine="560"/>
              <w:jc w:val="both"/>
            </w:pPr>
            <w:r>
              <w:rPr>
                <w:rFonts w:ascii="仿宋_GB2312" w:hAnsi="仿宋_GB2312" w:cs="仿宋_GB2312" w:eastAsia="仿宋_GB2312"/>
                <w:sz w:val="28"/>
              </w:rPr>
              <w:t>1、工期及地点：</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工期：合同签订之日起</w:t>
            </w:r>
            <w:r>
              <w:rPr>
                <w:rFonts w:ascii="仿宋_GB2312" w:hAnsi="仿宋_GB2312" w:cs="仿宋_GB2312" w:eastAsia="仿宋_GB2312"/>
                <w:sz w:val="28"/>
              </w:rPr>
              <w:t>120天内</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（二）施工地点：佛坪县袁家庄街办，采购人指定地点</w:t>
            </w:r>
          </w:p>
          <w:p>
            <w:pPr>
              <w:pStyle w:val="null3"/>
              <w:ind w:firstLine="560"/>
              <w:jc w:val="both"/>
            </w:pPr>
            <w:r>
              <w:rPr>
                <w:rFonts w:ascii="仿宋_GB2312" w:hAnsi="仿宋_GB2312" w:cs="仿宋_GB2312" w:eastAsia="仿宋_GB2312"/>
                <w:sz w:val="28"/>
              </w:rPr>
              <w:t>2、质量标准/要求</w:t>
            </w:r>
            <w:r>
              <w:rPr>
                <w:rFonts w:ascii="仿宋_GB2312" w:hAnsi="仿宋_GB2312" w:cs="仿宋_GB2312" w:eastAsia="仿宋_GB2312"/>
                <w:sz w:val="24"/>
              </w:rPr>
              <w:t>：</w:t>
            </w:r>
            <w:r>
              <w:rPr>
                <w:rFonts w:ascii="仿宋_GB2312" w:hAnsi="仿宋_GB2312" w:cs="仿宋_GB2312" w:eastAsia="仿宋_GB2312"/>
                <w:sz w:val="27"/>
              </w:rPr>
              <w:t>工程质量符合合格标准要求。</w:t>
            </w:r>
          </w:p>
          <w:p>
            <w:pPr>
              <w:pStyle w:val="null3"/>
              <w:ind w:firstLine="560"/>
              <w:jc w:val="both"/>
            </w:pPr>
            <w:r>
              <w:rPr>
                <w:rFonts w:ascii="仿宋_GB2312" w:hAnsi="仿宋_GB2312" w:cs="仿宋_GB2312" w:eastAsia="仿宋_GB2312"/>
                <w:sz w:val="28"/>
              </w:rPr>
              <w:t>3、质保期：</w:t>
            </w:r>
            <w:r>
              <w:rPr>
                <w:rFonts w:ascii="仿宋_GB2312" w:hAnsi="仿宋_GB2312" w:cs="仿宋_GB2312" w:eastAsia="仿宋_GB2312"/>
                <w:sz w:val="27"/>
              </w:rPr>
              <w:t>按照国家标准要求执行。</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本合同价款采用固定综合单价合同方式确定。</w:t>
            </w:r>
          </w:p>
          <w:p>
            <w:pPr>
              <w:pStyle w:val="null3"/>
              <w:ind w:firstLine="560"/>
              <w:jc w:val="both"/>
            </w:pPr>
            <w:r>
              <w:rPr>
                <w:rFonts w:ascii="仿宋_GB2312" w:hAnsi="仿宋_GB2312" w:cs="仿宋_GB2312" w:eastAsia="仿宋_GB2312"/>
                <w:sz w:val="28"/>
              </w:rPr>
              <w:t>5、付款方式：</w:t>
            </w:r>
            <w:r>
              <w:rPr>
                <w:rFonts w:ascii="仿宋_GB2312" w:hAnsi="仿宋_GB2312" w:cs="仿宋_GB2312" w:eastAsia="仿宋_GB2312"/>
                <w:sz w:val="28"/>
              </w:rPr>
              <w:t>合同签订生效后，发包人支付承包人合同总价</w:t>
            </w:r>
            <w:r>
              <w:rPr>
                <w:rFonts w:ascii="仿宋_GB2312" w:hAnsi="仿宋_GB2312" w:cs="仿宋_GB2312" w:eastAsia="仿宋_GB2312"/>
                <w:sz w:val="28"/>
              </w:rPr>
              <w:t>30%的工程预付款；后期按项目进度拨付资金，待项目竣工验收后拨付全部资金</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6、合同实施：</w:t>
            </w:r>
          </w:p>
          <w:p>
            <w:pPr>
              <w:pStyle w:val="null3"/>
              <w:ind w:firstLine="560"/>
              <w:jc w:val="both"/>
            </w:pPr>
            <w:r>
              <w:rPr>
                <w:rFonts w:ascii="仿宋_GB2312" w:hAnsi="仿宋_GB2312" w:cs="仿宋_GB2312" w:eastAsia="仿宋_GB2312"/>
                <w:sz w:val="28"/>
              </w:rPr>
              <w:t>①项目应缴纳</w:t>
            </w:r>
            <w:r>
              <w:rPr>
                <w:rFonts w:ascii="仿宋_GB2312" w:hAnsi="仿宋_GB2312" w:cs="仿宋_GB2312" w:eastAsia="仿宋_GB2312"/>
                <w:sz w:val="28"/>
              </w:rPr>
              <w:t>合同金额的3%</w:t>
            </w:r>
            <w:r>
              <w:rPr>
                <w:rFonts w:ascii="仿宋_GB2312" w:hAnsi="仿宋_GB2312" w:cs="仿宋_GB2312" w:eastAsia="仿宋_GB2312"/>
                <w:sz w:val="28"/>
              </w:rPr>
              <w:t>质保金至</w:t>
            </w:r>
            <w:r>
              <w:rPr>
                <w:rFonts w:ascii="仿宋_GB2312" w:hAnsi="仿宋_GB2312" w:cs="仿宋_GB2312" w:eastAsia="仿宋_GB2312"/>
                <w:sz w:val="28"/>
              </w:rPr>
              <w:t>采购人指定账户。</w:t>
            </w:r>
          </w:p>
          <w:p>
            <w:pPr>
              <w:pStyle w:val="null3"/>
              <w:ind w:firstLine="560"/>
              <w:jc w:val="both"/>
            </w:pPr>
            <w:r>
              <w:rPr>
                <w:rFonts w:ascii="仿宋_GB2312" w:hAnsi="仿宋_GB2312" w:cs="仿宋_GB2312" w:eastAsia="仿宋_GB2312"/>
                <w:sz w:val="28"/>
              </w:rPr>
              <w:t>②质保金的退还：项目验收合格后且质保期满，无任何质量问题一次退还（质保期按照国家标准要求执行）。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满足国家及行业验收“合格标准” ，且满足采购人要求。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为顺利推进政府采购电子化交易平台应用工作，中标供应商需要在领取中标通知书时向代理机构提供纸质版响应文件，正本壹份、副本贰份。 纸质版文件提交地址为：西安市未央区北二环大明宫立交桥百寰国际2705室。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①供应商须具备市政公用工程施工总承包三级及以上资质，且具有合格有效的安全生产许可证;②拟派项目经理须提供市政专业贰级(含贰级)以上注册建造师证书及安全生产考核合格证(B证)，且无在建工程(提供相关平台官网截图或无在建承诺书)；③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承诺函：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响应文件语言及有效期是否符合竞争性磋商文件要求</w:t>
            </w:r>
          </w:p>
        </w:tc>
        <w:tc>
          <w:tcPr>
            <w:tcW w:type="dxa" w:w="1661"/>
          </w:tcPr>
          <w:p>
            <w:pPr>
              <w:pStyle w:val="null3"/>
            </w:pPr>
            <w:r>
              <w:rPr>
                <w:rFonts w:ascii="仿宋_GB2312" w:hAnsi="仿宋_GB2312" w:cs="仿宋_GB2312" w:eastAsia="仿宋_GB2312"/>
              </w:rPr>
              <w:t>业绩.docx 已标价工程量清单 中小企业声明函 响应文件封面 磋商一览表.docx 技术实施方案.docx 供应商资质证明文件.docx 供应商认为需要提供的其他资料.docx 残疾人福利性单位声明函 拒绝政府采购领域商业贿赂承诺书.docx 报价函 标的清单 响应函 监狱企业的证明文件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响应文件是否符合竞争性磋商文件签字、盖章要求</w:t>
            </w:r>
          </w:p>
        </w:tc>
        <w:tc>
          <w:tcPr>
            <w:tcW w:type="dxa" w:w="1661"/>
          </w:tcPr>
          <w:p>
            <w:pPr>
              <w:pStyle w:val="null3"/>
            </w:pPr>
            <w:r>
              <w:rPr>
                <w:rFonts w:ascii="仿宋_GB2312" w:hAnsi="仿宋_GB2312" w:cs="仿宋_GB2312" w:eastAsia="仿宋_GB2312"/>
              </w:rPr>
              <w:t>业绩.docx 已标价工程量清单 中小企业声明函 响应文件封面 磋商一览表.docx 技术实施方案.docx 供应商资质证明文件.docx 供应商认为需要提供的其他资料.docx 残疾人福利性单位声明函 拒绝政府采购领域商业贿赂承诺书.docx 报价函 标的清单 响应函 监狱企业的证明文件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（1）磋商报价是否符合唯一性要求；（2）计量单位、报价货币均是否符合磋商文件要求； （3）未超出竞争性磋商文件规定的最高限价。</w:t>
            </w:r>
          </w:p>
        </w:tc>
        <w:tc>
          <w:tcPr>
            <w:tcW w:type="dxa" w:w="1661"/>
          </w:tcPr>
          <w:p>
            <w:pPr>
              <w:pStyle w:val="null3"/>
            </w:pPr>
            <w:r>
              <w:rPr>
                <w:rFonts w:ascii="仿宋_GB2312" w:hAnsi="仿宋_GB2312" w:cs="仿宋_GB2312" w:eastAsia="仿宋_GB2312"/>
              </w:rPr>
              <w:t>磋商一览表.docx 已标价工程量清单 中小企业声明函 残疾人福利性单位声明函 报价函 标的清单 响应函 监狱企业的证明文件 磋商函.docx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提供保证金转账凭证或担保机构出具的保函是否符合磋商文件要求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供应商是否提供了有效的中小企业声明函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完全理解并接受法律法规和竞争性磋商文件对供应商的各项须知、规约要求和责任义务，没有出现法律法规或竞争性磋商文件明确规定的其他被视为“无效投标” 的情形。</w:t>
            </w:r>
          </w:p>
        </w:tc>
        <w:tc>
          <w:tcPr>
            <w:tcW w:type="dxa" w:w="1661"/>
          </w:tcPr>
          <w:p>
            <w:pPr>
              <w:pStyle w:val="null3"/>
            </w:pPr>
            <w:r>
              <w:rPr>
                <w:rFonts w:ascii="仿宋_GB2312" w:hAnsi="仿宋_GB2312" w:cs="仿宋_GB2312" w:eastAsia="仿宋_GB2312"/>
              </w:rPr>
              <w:t>业绩.docx 已标价工程量清单 中小企业声明函 响应文件封面 磋商一览表.docx 技术实施方案.docx 供应商资质证明文件.docx 供应商认为需要提供的其他资料.docx 残疾人福利性单位声明函 拒绝政府采购领域商业贿赂承诺书.docx 报价函 标的清单 响应函 监狱企业的证明文件 磋商函.docx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供应商2022年1月1日至截标时间前类似施工项目业绩，每提供1份计2分，最高得10分，不提供不得分。 注：业绩证明（以合同或中标/成交通知书为准，须在磋商响应文件中附以上证明材料的扫描件加盖单位公章）。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根据供应商针对本项目实际情况编制的施工部署，包含但不限于①项目管理机构、②施工总体思路、③重难点工程识别和解决方案、④施工目标（质量、安全、工期、环保）。 二、评审标准 1.完整性：方案必须全面，对评审内容中的各项要求有详细描述； 2.可实施性：切合本项目实际情况，提出步骤清晰、满足需求的方案。 3.针对性：方案能够紧扣项目实际情况，内容科学合理。 三、赋分标准（满分12分） ①项目管理机构：每满足一个评审标准得1分，满分3分。 ②施工总体思路：每满足一个评审标准得1分，满分3分。 ③重难点工程识别：每满足一个评审标准得1分，满分3分。 ④施工目标（质量、安全、工期、环保）：每满足一个评审标准得1分，满分3分。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根据供应商针对本项目工程量清单及图纸编制施工方案，包含但不限于①土石方工程、②市政工程。 二、评审标准 1.完整性：方案必须全面，对清单及图纸内容中的各项要求有详细描述； 2.可实施性：切合本项目实际情况，提出步骤清晰、满足需求的方案。 3.针对性：方案能够紧扣项目实际情况，内容科学合理。 三、赋分标准（满分12分） ①土石方工程：每满足一个评审标准得2分，满分6分。 ②市政工程：每满足一个评审标准得2分，满分6分。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根据供应商针对本项目实际情况编制施工进度计划，包含但不限于①确保工期的技术组织措施、②总工期安排、③分部分项工程节点工期、④流水作业规划（常用横道图 / 网络图表示）。 二、评审标准 1.可实施性：切合本项目实际情况，提出步骤清晰、满足需求的方案。 2.针对性：方案能够紧扣项目实际情况，内容科学合理。 三、赋分标准（满分8分） ①确保工期的技术组织措施：每满足一个评审标准得1分，满分2分。 ②总工期安排：每满足一个评审标准得1分，满分2分。 ③分部分项工程节点工期：每满足一个评审标准得1分，满分2分。 ④流水作业规划（常用横道图 / 网络图表示）：每满足一个评审标准得1分，满分2分。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根据供应商针对本项目实际情况编制资源配置计划，包含但不限于①项目人员配备（含管理人员、作业班组）、②材料设备投入计划（主材供应、机械进场计划）、③资金使用计划、④施工现场平面布置计划。 二、评审标准 1.可实施性：切合本项目实际情况，提出步骤清晰、满足需求的方案。 2.针对性：方案能够紧扣项目实际情况，内容科学合理。 三、赋分标准（满分8分） ①项目人员配备（含管理人员、作业班组）：每满足一个评审标准得1分，满分2分。 ②材料设备投入计划（主材供应、机械进场计划）：每满足一个评审标准得1分，满分2分。 ③资金使用计划：每满足一个评审标准得1分，满分2分。 ④施工现场平面布置计划：每满足一个评审标准得1分，满分2分。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供应商针对本项目实际情况编制质量保证措施，包含但不限于①组织保障措施（建立质量管理体系、明确岗位职责、质量考核与奖惩）、②质量预防措施（技术、机械、材料以及人员管控）、③质量控制措施（工序质量、试验检测、过程纠偏、成品保护）、④质量资料管理。 二、评审标准 1.可实施性：切合本项目实际情况，提出步骤清晰、满足需求的方案。 2.针对性：方案能够紧扣项目实际情况，内容科学合理。 三、赋分标准（满分8分） ①组织保障措施（建立质量管理体系、明确岗位职责、质量考核与奖惩）：每满足一个评审标准得1分，满分2分。 ②质量预防措施（技术、机械、材料以及人员管控）：每满足一个评审标准得1分，满分2分。 ③质量控制措施（工序质量、试验检测、过程纠偏、成品保护）：每满足一个评审标准得1分，满分2分。 ④质量资料管理：每满足一个评审标准得1分，满分2分。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安全文明施工与环保措施</w:t>
            </w:r>
          </w:p>
        </w:tc>
        <w:tc>
          <w:tcPr>
            <w:tcW w:type="dxa" w:w="2492"/>
          </w:tcPr>
          <w:p>
            <w:pPr>
              <w:pStyle w:val="null3"/>
            </w:pPr>
            <w:r>
              <w:rPr>
                <w:rFonts w:ascii="仿宋_GB2312" w:hAnsi="仿宋_GB2312" w:cs="仿宋_GB2312" w:eastAsia="仿宋_GB2312"/>
              </w:rPr>
              <w:t>一、评审内容 根据供应商针对本项目实际情况编制安全文明施工与环保措施，包含但不限于①安全防护、②交通导行、③扬尘/噪音/污水控制、④建筑垃圾处理。 二、评审标准 1.可实施性：切合本项目实际情况，提出步骤清晰、满足需求的方案。 2.针对性：方案能够紧扣项目实际情况，内容科学合理。 三、赋分标准（满分8分） ①安全防护：每满足一个评审标准得1分，满分2分。 ②交通导行：每满足一个评审标准得1分，满分2分。 ③扬尘/噪音/污水控制：每满足一个评审标准得1分，满分2分。 ④建筑垃圾处理：每满足一个评审标准得1分，满分2分。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根据供应商针对本项目实际情况应急预案，包含但不限于①针对防汛、坍塌、触电、管线破坏应急响应流程及处置措施、②其他突发情况的应急响应流程及处置措施。 二、评审标准 1.可实施性：切合本项目实际情况，提出步骤清晰、满足需求的方案。 2.针对性：方案能够紧扣项目实际情况，内容科学合理。 三、赋分标准（满分4分） ①针对防汛、坍塌、触电、管线破坏应急响应流程及处置措施：每满足一个评审标准得1分，满分2分。 ②其他突发情况的应急响应流程及处置措施：每满足一个评审标准得1分，满分2分。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价格分采用低价优先法计算，即满足竞争性磋商文件要求且投标价格最低的投标报价为评标基准价，其得分为满分。其他供应商的得分统一按照下列公式计算： 投标报价得分=（评标基准价/投标报价）×30 磋商小组认为供应商的报价明显低于其他通过符合性审查供应商的报价，有可能影响工程质量或者不能诚信履约的，应当要求其在评标现场合理的时间内提供书面说明，必要时提交相关证明材料；供应商不能证明其报价合理性的，磋商小组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磋商函.docx</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