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版本号：YYWY-2026-0120260114001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佛坪县看守所某单位营房扩建项目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YYWY-2026-01</w:t>
      </w:r>
      <w:r>
        <w:br/>
      </w:r>
      <w:r>
        <w:br/>
      </w:r>
      <w:r>
        <w:br/>
      </w:r>
    </w:p>
    <w:p>
      <w:pPr>
        <w:pStyle w:val="null3"/>
        <w:jc w:val="center"/>
        <w:outlineLvl w:val="2"/>
      </w:pPr>
      <w:r>
        <w:rPr>
          <w:rFonts w:ascii="仿宋_GB2312" w:hAnsi="仿宋_GB2312" w:cs="仿宋_GB2312" w:eastAsia="仿宋_GB2312"/>
          <w:sz w:val="28"/>
          <w:b/>
        </w:rPr>
        <w:t>佛坪县公安局</w:t>
      </w:r>
    </w:p>
    <w:p>
      <w:pPr>
        <w:pStyle w:val="null3"/>
        <w:jc w:val="center"/>
        <w:outlineLvl w:val="2"/>
      </w:pPr>
      <w:r>
        <w:rPr>
          <w:rFonts w:ascii="仿宋_GB2312" w:hAnsi="仿宋_GB2312" w:cs="仿宋_GB2312" w:eastAsia="仿宋_GB2312"/>
          <w:sz w:val="28"/>
          <w:b/>
        </w:rPr>
        <w:t>汉中煜耀炜烨项目管理有限公司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汉中煜耀炜烨项目管理有限公司</w:t>
      </w:r>
      <w:r>
        <w:rPr>
          <w:rFonts w:ascii="仿宋_GB2312" w:hAnsi="仿宋_GB2312" w:cs="仿宋_GB2312" w:eastAsia="仿宋_GB2312"/>
        </w:rPr>
        <w:t>（以下简称“代理机构”）受</w:t>
      </w:r>
      <w:r>
        <w:rPr>
          <w:rFonts w:ascii="仿宋_GB2312" w:hAnsi="仿宋_GB2312" w:cs="仿宋_GB2312" w:eastAsia="仿宋_GB2312"/>
        </w:rPr>
        <w:t>佛坪县公安局</w:t>
      </w:r>
      <w:r>
        <w:rPr>
          <w:rFonts w:ascii="仿宋_GB2312" w:hAnsi="仿宋_GB2312" w:cs="仿宋_GB2312" w:eastAsia="仿宋_GB2312"/>
        </w:rPr>
        <w:t>委托，拟对</w:t>
      </w:r>
      <w:r>
        <w:rPr>
          <w:rFonts w:ascii="仿宋_GB2312" w:hAnsi="仿宋_GB2312" w:cs="仿宋_GB2312" w:eastAsia="仿宋_GB2312"/>
        </w:rPr>
        <w:t>佛坪县看守所某单位营房扩建项目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YYWY-2026-01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佛坪县看守所某单位营房扩建项目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建设地点位于佛坪县袁家庄街道，建设内容：修建一栋4层楼房与原有的营房连通，对原有的营房顶部进行改造，另在营房二层与看守所之间新增一条长8米的通道，新建筑总面积330.03平方米;对营区场地、花坛进行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采购包1（营房扩建项目）：属于专门面向中小企业采购。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授权委托书：投标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3、供应商资质要求：投标供应商须提供建设行政主管部门颁发的建筑工程施工总承包三级及以上资质，并提供有效的安全生产许可证。</w:t>
      </w:r>
    </w:p>
    <w:p>
      <w:pPr>
        <w:pStyle w:val="null3"/>
      </w:pPr>
      <w:r>
        <w:rPr>
          <w:rFonts w:ascii="仿宋_GB2312" w:hAnsi="仿宋_GB2312" w:cs="仿宋_GB2312" w:eastAsia="仿宋_GB2312"/>
        </w:rPr>
        <w:t>4、拟派项目负责人须具备建筑工程专业二级及以上注册建造师执业资格，并取得安全生产考核合格证书（建安B证），且无在建工程。：拟派项目负责人须具备建筑工程专业二级及以上注册建造师执业资格，并取得安全生产考核合格证书（建安B证），且无在建工程。</w:t>
      </w:r>
    </w:p>
    <w:p>
      <w:pPr>
        <w:pStyle w:val="null3"/>
      </w:pPr>
      <w:r>
        <w:rPr>
          <w:rFonts w:ascii="仿宋_GB2312" w:hAnsi="仿宋_GB2312" w:cs="仿宋_GB2312" w:eastAsia="仿宋_GB2312"/>
        </w:rPr>
        <w:t>5、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6、非联合体、不分包响应证明：本项目不接受联合体响应，不允许分包。供应商应提供《非联合体不分包投标声明》，视为独立响应，不分包。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河提街18号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8915152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汉中煜耀炜烨项目管理有限公司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汉台区前进西路智诚茗居商业2#-201室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0916-8816306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采购包1：1,229,069.90元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开户名称：汉中煜耀炜烨项目管理有限公司</w:t>
            </w:r>
          </w:p>
          <w:p>
            <w:pPr>
              <w:pStyle w:val="null3"/>
            </w:pPr>
            <w:r>
              <w:rPr>
                <w:rFonts w:ascii="仿宋_GB2312" w:hAnsi="仿宋_GB2312" w:cs="仿宋_GB2312" w:eastAsia="仿宋_GB2312"/>
              </w:rPr>
              <w:t>开户银行：长安银行股份有限公司汉中太白路支行</w:t>
            </w:r>
          </w:p>
          <w:p>
            <w:pPr>
              <w:pStyle w:val="null3"/>
            </w:pPr>
            <w:r>
              <w:rPr>
                <w:rFonts w:ascii="仿宋_GB2312" w:hAnsi="仿宋_GB2312" w:cs="仿宋_GB2312" w:eastAsia="仿宋_GB2312"/>
              </w:rPr>
              <w:t>银行账号：806060501421007499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 号关于印发《招标代理服务收费管理暂行办法》及《国家发展和改革委员会办公厅关于招标代理服务收费有关问题的通知》（发改办价格〔2003〕857 号）文件规定，以成交价为基数，按照工程类招标计算收取代理服务费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佛坪县公安局</w:t>
      </w:r>
      <w:r>
        <w:rPr>
          <w:rFonts w:ascii="仿宋_GB2312" w:hAnsi="仿宋_GB2312" w:cs="仿宋_GB2312" w:eastAsia="仿宋_GB2312"/>
        </w:rPr>
        <w:t>和</w:t>
      </w:r>
      <w:r>
        <w:rPr>
          <w:rFonts w:ascii="仿宋_GB2312" w:hAnsi="仿宋_GB2312" w:cs="仿宋_GB2312" w:eastAsia="仿宋_GB2312"/>
        </w:rPr>
        <w:t>汉中煜耀炜烨项目管理有限公司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汉中煜耀炜烨项目管理有限公司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汉中煜耀炜烨项目管理有限公司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汉中煜耀炜烨项目管理有限公司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汉中煜耀炜烨项目管理有限公司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汉中煜耀炜烨项目管理有限公司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联系人：乔亮</w:t>
      </w:r>
    </w:p>
    <w:p>
      <w:pPr>
        <w:pStyle w:val="null3"/>
      </w:pPr>
      <w:r>
        <w:rPr>
          <w:rFonts w:ascii="仿宋_GB2312" w:hAnsi="仿宋_GB2312" w:cs="仿宋_GB2312" w:eastAsia="仿宋_GB2312"/>
        </w:rPr>
        <w:t>联系电话：0916-8816306</w:t>
      </w:r>
    </w:p>
    <w:p>
      <w:pPr>
        <w:pStyle w:val="null3"/>
      </w:pPr>
      <w:r>
        <w:rPr>
          <w:rFonts w:ascii="仿宋_GB2312" w:hAnsi="仿宋_GB2312" w:cs="仿宋_GB2312" w:eastAsia="仿宋_GB2312"/>
        </w:rPr>
        <w:t>地址：汉台区前进西路智诚茗居商业2#-201室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1,229,069.90</w:t>
      </w:r>
    </w:p>
    <w:p>
      <w:pPr>
        <w:pStyle w:val="null3"/>
      </w:pPr>
      <w:r>
        <w:rPr>
          <w:rFonts w:ascii="仿宋_GB2312" w:hAnsi="仿宋_GB2312" w:cs="仿宋_GB2312" w:eastAsia="仿宋_GB2312"/>
        </w:rPr>
        <w:t>采购包最高限价（元）: 1,229,069.90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1229069.9</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1,229,069.90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标的名称：1229069.9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建设地点位于佛坪县袁家庄街道塘湾村，建设内容：修建一栋4层楼房与原有的营房连通，对原有的营房顶部进行改造，另在营房二层与看守所之间新增一条长8米的通道，新建筑总面积330.03平方米;对营区场地、花坛进行改造。</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招标范围：施工图设计范围内、工程量清单内的全部内容。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工程量清单详见附件</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工期要求：180日历天</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报价要求： 本项目报价采用固定综合单价承包，以中标价（中标综合单价）作为合同价的结算依据进行结算，投标供应商自行考虑并承担风险。即现场施工费、现场安全措施费、保险费、服务费、售后服务、外购、外协、配套件、原材料及生产制造、包装、保险、税费、管理、检验、运杂费、装卸费、安装调试、培训、配合、检测验收、图纸资料及保修、施工中产生的一切协调性费用及其他所有费用的总和。工程量清单中存在漏项或某子目工程量计算偏差，竣工结算时按清单计算规则据实调整。投标综合单价一次包定。除国家工程计价政策允许调整外，其他因素发生变化不作调整。</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技术要求：工程质量、安全要求达到现行国家规范要求。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经双方协商，工程完工，通过建设单位、设计单位、监理单位、施工单位的四方验收及有关地方行政管理部门审验并取得 相应验收合格凭证。</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承包人严格按照国家颁发的施工验收规范及工程设计图纸（工程量清单）要求进行施工。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满足采购需求及相关质量要求。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投标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投标供应商须提供建设行政主管部门颁发的建筑工程施工总承包三级及以上资质，并提供有效的安全生产许可证。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拟派项目负责人须具备建筑工程专业二级及以上注册建造师执业资格，并取得安全生产考核合格证书（建安B证），且无在建工程。</w:t>
            </w:r>
          </w:p>
        </w:tc>
        <w:tc>
          <w:tcPr>
            <w:tcW w:type="dxa" w:w="3322"/>
          </w:tcPr>
          <w:p>
            <w:pPr>
              <w:pStyle w:val="null3"/>
            </w:pPr>
            <w:r>
              <w:rPr>
                <w:rFonts w:ascii="仿宋_GB2312" w:hAnsi="仿宋_GB2312" w:cs="仿宋_GB2312" w:eastAsia="仿宋_GB2312"/>
              </w:rPr>
              <w:t>拟派项目负责人须具备建筑工程专业二级及以上注册建造师执业资格，并取得安全生产考核合格证书（建安B证），且无在建工程。</w:t>
            </w:r>
          </w:p>
        </w:tc>
        <w:tc>
          <w:tcPr>
            <w:tcW w:type="dxa" w:w="1661"/>
          </w:tcPr>
          <w:p>
            <w:pPr>
              <w:pStyle w:val="null3"/>
            </w:pPr>
            <w:r>
              <w:rPr>
                <w:rFonts w:ascii="仿宋_GB2312" w:hAnsi="仿宋_GB2312" w:cs="仿宋_GB2312" w:eastAsia="仿宋_GB2312"/>
              </w:rPr>
              <w:t>项目管理机构组成表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非联合体、不分包响应证明</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本项目不接受联合体响应，不允许分包。供应商应提供《非联合体不分包投标声明》，视为独立响应，不分包。</w:t>
            </w:r>
          </w:p>
        </w:tc>
        <w:tc>
          <w:tcPr>
            <w:tcW w:type="dxa" w:w="1661"/>
          </w:tcPr>
          <w:p>
            <w:pPr>
              <w:pStyle w:val="null3"/>
            </w:pPr>
            <w:r>
              <w:rPr>
                <w:rFonts w:ascii="仿宋_GB2312" w:hAnsi="仿宋_GB2312" w:cs="仿宋_GB2312" w:eastAsia="仿宋_GB2312"/>
              </w:rPr>
              <w:t>非联合体不分包投标声明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已标价工程量清单 法定代表人授权委托书 中小企业声明函 供应商应提交的相关资格证明材料 响应文件封面 项目管理机构组成表 技术标及方案 残疾人福利性单位声明函 报价函 非联合体不分包投标声明 标的清单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 项目编号、标段（如有）一致。</w:t>
            </w:r>
          </w:p>
        </w:tc>
        <w:tc>
          <w:tcPr>
            <w:tcW w:type="dxa" w:w="1661"/>
          </w:tcPr>
          <w:p>
            <w:pPr>
              <w:pStyle w:val="null3"/>
            </w:pPr>
            <w:r>
              <w:rPr>
                <w:rFonts w:ascii="仿宋_GB2312" w:hAnsi="仿宋_GB2312" w:cs="仿宋_GB2312" w:eastAsia="仿宋_GB2312"/>
              </w:rPr>
              <w:t>响应文件封面 法定代表人授权委托书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已标价工程量清单 法定代表人授权委托书 中小企业声明函 供应商应提交的相关资格证明材料 响应文件封面 项目管理机构组成表 技术标及方案 残疾人福利性单位声明函 报价函 非联合体不分包投标声明 标的清单 供应商类似项目业绩一览表 响应函 主要人员简历表 汉中市政府采购供应商资格承诺函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响应文件按照磋商文件要求编制，内容齐全，无重大缺漏项。</w:t>
            </w:r>
          </w:p>
        </w:tc>
        <w:tc>
          <w:tcPr>
            <w:tcW w:type="dxa" w:w="1661"/>
          </w:tcPr>
          <w:p>
            <w:pPr>
              <w:pStyle w:val="null3"/>
            </w:pPr>
            <w:r>
              <w:rPr>
                <w:rFonts w:ascii="仿宋_GB2312" w:hAnsi="仿宋_GB2312" w:cs="仿宋_GB2312" w:eastAsia="仿宋_GB2312"/>
              </w:rPr>
              <w:t>已标价工程量清单 法定代表人授权委托书 中小企业声明函 供应商应提交的相关资格证明材料 响应文件封面 项目管理机构组成表 技术标及方案 残疾人福利性单位声明函 报价函 非联合体不分包投标声明 标的清单 供应商类似项目业绩一览表 响应函 主要人员简历表 汉中市政府采购供应商资格承诺函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一、评审内容：响应人提供本项目施工方案，包括①施工方法（工艺）②施工组织和施工程序③现场平面布置④技术组织措施。 二、赋分标准： 1、完整性：方案内容完整全面，对上述各项内容均有描述，得2分；缺1项，得1.5分；缺2项，得1分；缺3项，得0.5分；不提供不得分。 2、针对性：针对性强，得3分；每有一处缺陷的扣0.5分。 3、可实施性：可实施性强，得3分；每有一处缺陷的扣0.5分。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一、评审内容：响应人提供本项目施工进度计划，包括①施工进度目标和施工总进度计划表/图②分部分项 工期一览表③重要工程的验收、检验的次序和时间。 二、赋分标准： 1、完整性：方案内容完整全面，对上述各项内容均有描述，得1分；缺1项，得0.7分；缺2 项，得0.4分；不提供不得分。 2、针对性：针对性强，得1.5分；每有一处缺陷的扣0.5分。 3、可实施性：可实施性强，得1.5分；每有一处缺陷的扣0.5分。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一、评审内容：响应人提供本项目工期保证措施，包括①施工组织与管理保证措施②施工技术措施。 二、赋分标准： 1、完整性：方案内容完整全面，对上述各项内容均有描述，得1分；缺1项，得0.5分；不提供不得分。 2、针对性：针对性强，得1分；每有一处缺陷的扣0.5分。 3、可实施性：可实施性强，得1分；每有一处缺陷的扣0.5分。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一、评审内容：响应人提供本项目质量保证措施，包括①工程质量目标②施工质量保证措施③施工质量管理与控制方案。 二、赋分标准： 1、完整性：方案内容完整全面，对上述各项内容均有描述，得1分；缺1项，得0.7分；缺2 项，得0.4分；不提供不得分。 2、针对性：针对性强，得2分；每有一处缺陷的扣0.5分。 3、可实施性：可实施性强，得2分；每有一处缺陷的扣0.5分。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一、评审内容：响应人提供本项目安全技术措施，包括①安全管理制度②安全责任归属划分③安全标识：安全警戒标语、施工人员安全警示服和安全帽穿配要求④安全教育培训。 二、赋分标准： 1、完整性：方案内容完整全面，对上述各项内容均有描述，得 2 分；缺 1 项，得 1.5 分；缺 2 项，得 1 分；缺 3 项，得 0.5 分；不提供不得分。 2、针对性：针对性强，得 2 分；每有一处缺陷的扣0.5分。 3、可实施性：可实施性强，得 2 分；每有一处缺陷的扣0.5分。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一、评审内容：响应人提供本项目文明施工措施，包括①成品保护措施和制度②施工现场的临时管理措施③文明施工保障措施④文物保护措施。 二、赋分标准： 1、完整性：方案内容完整全面，对上述各项内容均有描述，得 2 分；缺 1 项，得 1.5 分；缺 2 项，得 1分；缺 3 项，得 0.5 分；不提供不得分。 2、针对性：针对性强，得 2 分；每有一处缺陷的扣0.5分。 3、可实施性：可实施性强，得 2 分；每有一处缺陷的扣0.5分。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一、评审内容：响应人提供本项目环境保护措施，包括①环境保护管理体系②环保控制措施：污染物及废弃物的处理措施、噪音控制措施、防尘及扬尘的控制措施。 二、赋分标准： 1、完整性：方案内容完整全面，对上述各项内容均有描述，得 1 分；缺 1 项，得 0.5 分；不提供不得分。 2、针对性：针对性强，得 1 分；每有一处缺陷的扣0.5分。 3、可实施性：可实施性强，得 1 分；每有一处缺陷的扣0.5分。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项目部人员组织</w:t>
            </w:r>
          </w:p>
        </w:tc>
        <w:tc>
          <w:tcPr>
            <w:tcW w:type="dxa" w:w="2492"/>
          </w:tcPr>
          <w:p>
            <w:pPr>
              <w:pStyle w:val="null3"/>
            </w:pPr>
            <w:r>
              <w:rPr>
                <w:rFonts w:ascii="仿宋_GB2312" w:hAnsi="仿宋_GB2312" w:cs="仿宋_GB2312" w:eastAsia="仿宋_GB2312"/>
              </w:rPr>
              <w:t>针对本项目提供实施具体人员配置清单（技术负责人、施工员、质检员、安全员、材料员、预算员），包含：具体成员身份证、职称（职业资格证书）、岗位证书、社保缴纳证明。提供以上清单中所有内容得 6分，每人1分，提供不齐或不提供不得分。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技术标及方案</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一、评审内容：响应人提供本项目新材料新工艺，包括①新技术和新工艺的应用情况②新产品和新材料的应用情况。 二、赋分标准： 1、完整性：方案内容完整全面，对上述各项内容均有描述，得 1 分；缺 1 项，得 0.5 分；不提供不得分。 2、针对性：针对性强，得 1 分；每有一处缺陷的扣0.5分。 3、可实施性：可实施性强，得 1 分；每有一处缺陷的扣0.5分。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一、评审内容：响应人提供本项目的资源配置计划，包括①拟投入的主要施工机械设备计划②主要材料进场计划③劳动力投入计划。 二、赋分标准： 1、完整性：方案内容完整全面，对上述各项内容均有描述，得 1 分；缺 1 项，得 0.7 分；缺 2 项，得 0.4 分；不提供不得分。 2、针对性：针对性强，得 2 分；每有一处缺陷的扣0.5分。 3、可实施性：可实施性强，得 2 分；每有一处缺陷的扣0.5分。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施工重点难点</w:t>
            </w:r>
          </w:p>
        </w:tc>
        <w:tc>
          <w:tcPr>
            <w:tcW w:type="dxa" w:w="2492"/>
          </w:tcPr>
          <w:p>
            <w:pPr>
              <w:pStyle w:val="null3"/>
            </w:pPr>
            <w:r>
              <w:rPr>
                <w:rFonts w:ascii="仿宋_GB2312" w:hAnsi="仿宋_GB2312" w:cs="仿宋_GB2312" w:eastAsia="仿宋_GB2312"/>
              </w:rPr>
              <w:t>一、评审内容：响应人提供本项目的施工重难点，包括①施工重难点分析②重难点解决方案。 二、赋分标准： 1、完整性：方案内容完整全面，对上述各项内容均有描述，得2分；缺 1 项，得1分；不提供不得分。 2、针对性：针对性强，得 2 分；每有一处缺陷的扣0.5分。 3、可实施性：可实施性强，得 2 分；每有一处缺陷的扣0.5分。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提供2022年1月1日以来类似项目业绩，每提供一个得3分，最高9分，没有不得分。 注：业绩以成交（中标）通知书或施工合同（以合同签订日期为准）扫描件为准。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技术标及方案</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一、评审内容：响应人提供本项目的保修方案，包括①工程保修期②维护次数和维修费用③维修人员配备和服务措施④响应时间。 二、赋分标准： 1、完整性：方案内容完整全面，对上述各项内容均有描述，得 2 分；缺 1 项，得 1.5 分；缺 2 项，得 1 分；缺 3 项，得 0.5 分；不提供不得分。 2、针对性：针对性强，得 2 分；每有一处缺陷的扣0.5分。 3、可实施性：可实施性强，得 2 分；每有一处缺陷的扣0.5分。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技术标及方案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有效供应商最低报价为基准价得30分，其他各供应商的报价得分按下列公式计算： 报价得分=（基准价/磋商报价）×30。根据“最后报价”计算价格得分。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详见附件：技术标及方案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详见附件：（GF-2017-0201）建设工程施工合同（示范文本）.docx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