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版本号：DHY-2026-HZ00320260123002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佛坪县林权登记试点项目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DHY-2026-HZ003</w:t>
      </w:r>
      <w:r>
        <w:br/>
      </w:r>
      <w:r>
        <w:br/>
      </w:r>
      <w:r>
        <w:br/>
      </w:r>
    </w:p>
    <w:p>
      <w:pPr>
        <w:pStyle w:val="null3"/>
        <w:jc w:val="center"/>
        <w:outlineLvl w:val="2"/>
      </w:pPr>
      <w:r>
        <w:rPr>
          <w:rFonts w:ascii="仿宋_GB2312" w:hAnsi="仿宋_GB2312" w:cs="仿宋_GB2312" w:eastAsia="仿宋_GB2312"/>
          <w:sz w:val="28"/>
          <w:b/>
        </w:rPr>
        <w:t>佛坪县自然资源局（县不动产登记局）</w:t>
      </w:r>
    </w:p>
    <w:p>
      <w:pPr>
        <w:pStyle w:val="null3"/>
        <w:jc w:val="center"/>
        <w:outlineLvl w:val="2"/>
      </w:pPr>
      <w:r>
        <w:rPr>
          <w:rFonts w:ascii="仿宋_GB2312" w:hAnsi="仿宋_GB2312" w:cs="仿宋_GB2312" w:eastAsia="仿宋_GB2312"/>
          <w:sz w:val="28"/>
          <w:b/>
        </w:rPr>
        <w:t>陕西鼎慧源工程项目管理有限公司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陕西鼎慧源工程项目管理有限公司</w:t>
      </w:r>
      <w:r>
        <w:rPr>
          <w:rFonts w:ascii="仿宋_GB2312" w:hAnsi="仿宋_GB2312" w:cs="仿宋_GB2312" w:eastAsia="仿宋_GB2312"/>
        </w:rPr>
        <w:t>（以下简称“代理机构”）受</w:t>
      </w:r>
      <w:r>
        <w:rPr>
          <w:rFonts w:ascii="仿宋_GB2312" w:hAnsi="仿宋_GB2312" w:cs="仿宋_GB2312" w:eastAsia="仿宋_GB2312"/>
        </w:rPr>
        <w:t>佛坪县自然资源局（县不动产登记局）</w:t>
      </w:r>
      <w:r>
        <w:rPr>
          <w:rFonts w:ascii="仿宋_GB2312" w:hAnsi="仿宋_GB2312" w:cs="仿宋_GB2312" w:eastAsia="仿宋_GB2312"/>
        </w:rPr>
        <w:t>委托，拟对</w:t>
      </w:r>
      <w:r>
        <w:rPr>
          <w:rFonts w:ascii="仿宋_GB2312" w:hAnsi="仿宋_GB2312" w:cs="仿宋_GB2312" w:eastAsia="仿宋_GB2312"/>
        </w:rPr>
        <w:t>佛坪县林权登记试点项目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DHY-2026-HZ003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佛坪县林权登记试点项目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将林权登记纸质档案资料电子化，全面完成林权登记数据整合。 1、以宗地为单位，查清宗地、林木定着物组成的不动产单元状况，以及森林和林木信息等。 （1）宗地信息。查清宗地的权利人、权利类型、权利性质、土地用途、四至、面积等土地状况。 （2）森林、林木信息。查清森林与林木的权利人、坐落、造林年度、小地名、林班、小班、面积、起源、主要树种、株数、林种、共有情况等内容。 2、核实已发证宗地实际位置，标记已发证林地与农经权重叠部分，标记已发林权证与永久基本农田重叠部分。 3、根据《不动产登记数据库标准》建立林权不动产数据库、制作林权地籍图。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采购包1（佛坪县林权登记试点项目）：属于专门面向中小企业采购。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需在项目电子化交易系统中按要求上传相应证明文件并进行电子签章。</w:t>
      </w:r>
    </w:p>
    <w:p>
      <w:pPr>
        <w:pStyle w:val="null3"/>
      </w:pPr>
      <w:r>
        <w:rPr>
          <w:rFonts w:ascii="仿宋_GB2312" w:hAnsi="仿宋_GB2312" w:cs="仿宋_GB2312" w:eastAsia="仿宋_GB2312"/>
        </w:rPr>
        <w:t>2、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3、法定代表人授权书（附法定代表人身份证复印件）及被授权人身份证（法定代表人直接参加磋商的只需提供法定代表人身份证）；：供应商需在项目电子化交易系统中按要求上传相应证明文件并进行电子签章。</w:t>
      </w:r>
    </w:p>
    <w:p>
      <w:pPr>
        <w:pStyle w:val="null3"/>
      </w:pPr>
      <w:r>
        <w:rPr>
          <w:rFonts w:ascii="仿宋_GB2312" w:hAnsi="仿宋_GB2312" w:cs="仿宋_GB2312" w:eastAsia="仿宋_GB2312"/>
        </w:rPr>
        <w:t>4、供应商须具备测绘乙级及以上资质；：供应商需在项目电子化交易系统中按要求上传相应证明文件并进行电子签章。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佛坪县自然资源局（县不动产登记局）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佛坪县振兴北路33号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13772203005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陕西鼎慧源工程项目管理有限公司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陕西省西安市未央区北二环太华北路立交东北角百寰国际27层2702室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开户名称：陕西鼎慧源工程项目管理有限公司汉中分公司</w:t>
            </w:r>
          </w:p>
          <w:p>
            <w:pPr>
              <w:pStyle w:val="null3"/>
            </w:pPr>
            <w:r>
              <w:rPr>
                <w:rFonts w:ascii="仿宋_GB2312" w:hAnsi="仿宋_GB2312" w:cs="仿宋_GB2312" w:eastAsia="仿宋_GB2312"/>
              </w:rPr>
              <w:t>开户银行：中国工商银行股份有限公司汉中北团结街支行</w:t>
            </w:r>
          </w:p>
          <w:p>
            <w:pPr>
              <w:pStyle w:val="null3"/>
            </w:pPr>
            <w:r>
              <w:rPr>
                <w:rFonts w:ascii="仿宋_GB2312" w:hAnsi="仿宋_GB2312" w:cs="仿宋_GB2312" w:eastAsia="仿宋_GB2312"/>
              </w:rPr>
              <w:t>银行账号：2606 0503 0920 0271 036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供应商按《国家计委关于印发&lt;磋商代理服务收费管理暂行办法&gt;的通知》（计价格[2002]1980号）、发改价格〔2011〕534号文及《陕西省住房和城乡建设厅文件陕价行发【2014】88号》文收费标准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佛坪县自然资源局（县不动产登记局）</w:t>
      </w:r>
      <w:r>
        <w:rPr>
          <w:rFonts w:ascii="仿宋_GB2312" w:hAnsi="仿宋_GB2312" w:cs="仿宋_GB2312" w:eastAsia="仿宋_GB2312"/>
        </w:rPr>
        <w:t>和</w:t>
      </w:r>
      <w:r>
        <w:rPr>
          <w:rFonts w:ascii="仿宋_GB2312" w:hAnsi="仿宋_GB2312" w:cs="仿宋_GB2312" w:eastAsia="仿宋_GB2312"/>
        </w:rPr>
        <w:t>陕西鼎慧源工程项目管理有限公司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佛坪县自然资源局（县不动产登记局）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陕西鼎慧源工程项目管理有限公司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佛坪县自然资源局（县不动产登记局）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陕西鼎慧源工程项目管理有限公司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联系人：徐女士</w:t>
      </w:r>
    </w:p>
    <w:p>
      <w:pPr>
        <w:pStyle w:val="null3"/>
      </w:pPr>
      <w:r>
        <w:rPr>
          <w:rFonts w:ascii="仿宋_GB2312" w:hAnsi="仿宋_GB2312" w:cs="仿宋_GB2312" w:eastAsia="仿宋_GB2312"/>
        </w:rPr>
        <w:t>联系电话：0916-8881950</w:t>
      </w:r>
    </w:p>
    <w:p>
      <w:pPr>
        <w:pStyle w:val="null3"/>
      </w:pPr>
      <w:r>
        <w:rPr>
          <w:rFonts w:ascii="仿宋_GB2312" w:hAnsi="仿宋_GB2312" w:cs="仿宋_GB2312" w:eastAsia="仿宋_GB2312"/>
        </w:rPr>
        <w:t>地址：陕西省汉中市汉台区滨江印象西门五楼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党中央、国务院关于生态文明建设的决策部署，全面落实自然资源部办公厅、国家林业和草原局办公室《关于进一步规范林权类不动产登记做好林权登记与林业管理衔接的通知》(自然资办发[2020]31号）、陕西省自然资源厅、陕西省林业局《关于进一步规范林权类不动产登记工作的通知》 (陕自然资发[2019]63 号）、省政府《关于印发自然资源统一确权登记总体工作方案的通知》(陕政函[2020]61号)、陕西省自然资源厅《关于推进林权类不动产登记工作的通知》（陕自然资登发[2020]5号）文件要求，开展佛坪县林权登记工作。按照陕西省《关于实施不动产统一登记制度的若干意见》（陕发[2015]14号），以及《陕西省不动产登记资料移交工作指引》的文件要求，逐步将林业部门的电子、档案等林业相关数据进行接收、整理、编码、入库。佛坪全县辖6个镇1个街道办，44个行政村1个居委会，总人口3.5万，总面积1279平方公里。本次林权登记地块个数22321个，面积1023589.36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佛坪县林权登记试点项目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标的名称：佛坪县林权登记试点项目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pPr>
            <w:r>
              <w:rPr>
                <w:rFonts w:ascii="仿宋_GB2312" w:hAnsi="仿宋_GB2312" w:cs="仿宋_GB2312" w:eastAsia="仿宋_GB2312"/>
                <w:sz w:val="21"/>
                <w:b/>
              </w:rPr>
              <w:t>一、将林权登记纸质档案资料电子化，全面完成林权登记数据整合。</w:t>
            </w:r>
          </w:p>
          <w:p>
            <w:pPr>
              <w:pStyle w:val="null3"/>
              <w:ind w:firstLine="560"/>
            </w:pPr>
            <w:r>
              <w:rPr>
                <w:rFonts w:ascii="仿宋_GB2312" w:hAnsi="仿宋_GB2312" w:cs="仿宋_GB2312" w:eastAsia="仿宋_GB2312"/>
                <w:sz w:val="21"/>
              </w:rPr>
              <w:t>1、以宗地为单位，查清宗地、林木定着物组成的不动产单元状况，以及森林和林木信息等。</w:t>
            </w:r>
          </w:p>
          <w:p>
            <w:pPr>
              <w:pStyle w:val="null3"/>
              <w:ind w:firstLine="560"/>
            </w:pPr>
            <w:r>
              <w:rPr>
                <w:rFonts w:ascii="仿宋_GB2312" w:hAnsi="仿宋_GB2312" w:cs="仿宋_GB2312" w:eastAsia="仿宋_GB2312"/>
                <w:sz w:val="21"/>
              </w:rPr>
              <w:t>（</w:t>
            </w:r>
            <w:r>
              <w:rPr>
                <w:rFonts w:ascii="仿宋_GB2312" w:hAnsi="仿宋_GB2312" w:cs="仿宋_GB2312" w:eastAsia="仿宋_GB2312"/>
                <w:sz w:val="21"/>
              </w:rPr>
              <w:t>1）宗地信息。查清宗地的权利人、权利类型、权利性质、土地用途、四至、面积等土地状况。</w:t>
            </w:r>
          </w:p>
          <w:p>
            <w:pPr>
              <w:pStyle w:val="null3"/>
              <w:ind w:firstLine="560"/>
            </w:pPr>
            <w:r>
              <w:rPr>
                <w:rFonts w:ascii="仿宋_GB2312" w:hAnsi="仿宋_GB2312" w:cs="仿宋_GB2312" w:eastAsia="仿宋_GB2312"/>
                <w:sz w:val="21"/>
              </w:rPr>
              <w:t>（</w:t>
            </w:r>
            <w:r>
              <w:rPr>
                <w:rFonts w:ascii="仿宋_GB2312" w:hAnsi="仿宋_GB2312" w:cs="仿宋_GB2312" w:eastAsia="仿宋_GB2312"/>
                <w:sz w:val="21"/>
              </w:rPr>
              <w:t>2）森林、林木信息。查清森林与林木的权利人、坐落、造林年度、小地名、林班、小班、面积、起源、主要树种、株数、林种、共有情况等内容。</w:t>
            </w:r>
          </w:p>
          <w:p>
            <w:pPr>
              <w:pStyle w:val="null3"/>
              <w:ind w:firstLine="560"/>
            </w:pPr>
            <w:r>
              <w:rPr>
                <w:rFonts w:ascii="仿宋_GB2312" w:hAnsi="仿宋_GB2312" w:cs="仿宋_GB2312" w:eastAsia="仿宋_GB2312"/>
                <w:sz w:val="21"/>
              </w:rPr>
              <w:t>2、核实已发证宗地实际位置，标记已发证林地与农经权重叠部分，标记已发林权证与永久基本农田重叠部分。</w:t>
            </w:r>
          </w:p>
          <w:p>
            <w:pPr>
              <w:pStyle w:val="null3"/>
              <w:ind w:firstLine="560"/>
            </w:pPr>
            <w:r>
              <w:rPr>
                <w:rFonts w:ascii="仿宋_GB2312" w:hAnsi="仿宋_GB2312" w:cs="仿宋_GB2312" w:eastAsia="仿宋_GB2312"/>
                <w:sz w:val="21"/>
              </w:rPr>
              <w:t>3、根据《不动产登记数据库标准》建立林权不动产数据库、制作林权地籍图。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pPr>
            <w:r>
              <w:rPr>
                <w:rFonts w:ascii="仿宋_GB2312" w:hAnsi="仿宋_GB2312" w:cs="仿宋_GB2312" w:eastAsia="仿宋_GB2312"/>
                <w:sz w:val="21"/>
                <w:b/>
              </w:rPr>
              <w:t>二、主要政策、技术依据</w:t>
            </w:r>
          </w:p>
          <w:p>
            <w:pPr>
              <w:pStyle w:val="null3"/>
              <w:ind w:firstLine="560"/>
            </w:pPr>
            <w:r>
              <w:rPr>
                <w:rFonts w:ascii="仿宋_GB2312" w:hAnsi="仿宋_GB2312" w:cs="仿宋_GB2312" w:eastAsia="仿宋_GB2312"/>
                <w:sz w:val="21"/>
              </w:rPr>
              <w:t>1、《中华人民共和国森林法》（2019 年12月28日修订）</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2、《不动产登记暂行条例实施细则》（中华人民共和国国土资源部令第63号,2016 年）</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3、《自然资源确权登记暂行办法》（自然资发[2019]116 号）</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4、《土地调查条例》（2018 年修正本）</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5、《土地调查条例实施办法》（2019 年修正本）</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6、《森林资源规划设计调查技术规程》（GB/T 26424-2010）</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7、《地籍调查规程》（TD/T 1001-2012）</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8、《第三次全国土地调查技术规程》（TD/T 1055-2019）</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9、《全球定位系统实时动态测量（RTK）技术规范》（CH/T 2009-2010）</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10、《农村土地承包经营权调查规程》（NY/T 2537-2014）</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11、《数字测绘产品质量要求》（第一部分 GB/T 17941.1）</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、《不动产登记数据库标准》（试行）</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pPr>
            <w:r>
              <w:rPr>
                <w:rFonts w:ascii="仿宋_GB2312" w:hAnsi="仿宋_GB2312" w:cs="仿宋_GB2312" w:eastAsia="仿宋_GB2312"/>
                <w:sz w:val="21"/>
                <w:b/>
              </w:rPr>
              <w:t>三、坐标系统及数学基础</w:t>
            </w:r>
          </w:p>
          <w:p>
            <w:pPr>
              <w:pStyle w:val="null3"/>
              <w:ind w:firstLine="560"/>
            </w:pPr>
            <w:r>
              <w:rPr>
                <w:rFonts w:ascii="仿宋_GB2312" w:hAnsi="仿宋_GB2312" w:cs="仿宋_GB2312" w:eastAsia="仿宋_GB2312"/>
                <w:sz w:val="21"/>
              </w:rPr>
              <w:t>平面坐标系统采用</w:t>
            </w:r>
            <w:r>
              <w:rPr>
                <w:rFonts w:ascii="仿宋_GB2312" w:hAnsi="仿宋_GB2312" w:cs="仿宋_GB2312" w:eastAsia="仿宋_GB2312"/>
                <w:sz w:val="21"/>
              </w:rPr>
              <w:t>“2000国家大地坐标系（CGCS2000）”,高程采用1985国家高程基准。长度单位采用米（m），保留2位小数</w:t>
            </w:r>
            <w:r>
              <w:rPr>
                <w:rFonts w:ascii="仿宋_GB2312" w:hAnsi="仿宋_GB2312" w:cs="仿宋_GB2312" w:eastAsia="仿宋_GB2312"/>
                <w:sz w:val="21"/>
              </w:rPr>
              <w:t>；</w:t>
            </w:r>
            <w:r>
              <w:rPr>
                <w:rFonts w:ascii="仿宋_GB2312" w:hAnsi="仿宋_GB2312" w:cs="仿宋_GB2312" w:eastAsia="仿宋_GB2312"/>
                <w:sz w:val="21"/>
              </w:rPr>
              <w:t>面积计算单位采用平方米（㎡）和亩，保留两位小数</w:t>
            </w:r>
            <w:r>
              <w:rPr>
                <w:rFonts w:ascii="仿宋_GB2312" w:hAnsi="仿宋_GB2312" w:cs="仿宋_GB2312" w:eastAsia="仿宋_GB2312"/>
                <w:sz w:val="21"/>
              </w:rPr>
              <w:t>；</w:t>
            </w:r>
            <w:r>
              <w:rPr>
                <w:rFonts w:ascii="仿宋_GB2312" w:hAnsi="仿宋_GB2312" w:cs="仿宋_GB2312" w:eastAsia="仿宋_GB2312"/>
                <w:sz w:val="21"/>
              </w:rPr>
              <w:t>面积统计汇总单位采用公顷（</w:t>
            </w:r>
            <w:r>
              <w:rPr>
                <w:rFonts w:ascii="仿宋_GB2312" w:hAnsi="仿宋_GB2312" w:cs="仿宋_GB2312" w:eastAsia="仿宋_GB2312"/>
                <w:sz w:val="21"/>
              </w:rPr>
              <w:t>hm²)和亩，汇总时保留四位小数。</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 xml:space="preserve">     四、数据规范化处理</w:t>
            </w:r>
          </w:p>
          <w:p>
            <w:pPr>
              <w:pStyle w:val="null3"/>
            </w:pPr>
            <w:r>
              <w:rPr>
                <w:rFonts w:ascii="仿宋_GB2312" w:hAnsi="仿宋_GB2312" w:cs="仿宋_GB2312" w:eastAsia="仿宋_GB2312"/>
                <w:sz w:val="21"/>
                <w:b/>
              </w:rPr>
              <w:t xml:space="preserve">     1、林权档案数字化整理</w:t>
            </w:r>
          </w:p>
          <w:p>
            <w:pPr>
              <w:pStyle w:val="null3"/>
              <w:ind w:firstLine="560"/>
            </w:pPr>
            <w:r>
              <w:rPr>
                <w:rFonts w:ascii="仿宋_GB2312" w:hAnsi="仿宋_GB2312" w:cs="仿宋_GB2312" w:eastAsia="仿宋_GB2312"/>
                <w:sz w:val="21"/>
              </w:rPr>
              <w:t>对林业部门所贮存的纸质档案材料，根据数据整合对纸质档案整理的要求，对纸质档案进行借阅、拆分、整理、基本信息录入、扫描、图像处理，对电子化之后的纸质档案进行整理、装订，纸质入盒前对档案目录及编码进行粘贴，扫描结果按</w:t>
            </w:r>
            <w:r>
              <w:rPr>
                <w:rFonts w:ascii="仿宋_GB2312" w:hAnsi="仿宋_GB2312" w:cs="仿宋_GB2312" w:eastAsia="仿宋_GB2312"/>
                <w:sz w:val="21"/>
              </w:rPr>
              <w:t>佛坪县</w:t>
            </w:r>
            <w:r>
              <w:rPr>
                <w:rFonts w:ascii="仿宋_GB2312" w:hAnsi="仿宋_GB2312" w:cs="仿宋_GB2312" w:eastAsia="仿宋_GB2312"/>
                <w:sz w:val="21"/>
              </w:rPr>
              <w:t>不动产统一登记平台的组织目录要求进行存放，提高档案的利用效率。</w:t>
            </w:r>
          </w:p>
          <w:p>
            <w:pPr>
              <w:pStyle w:val="null3"/>
              <w:ind w:firstLine="560"/>
            </w:pPr>
            <w:r>
              <w:rPr>
                <w:rFonts w:ascii="仿宋_GB2312" w:hAnsi="仿宋_GB2312" w:cs="仿宋_GB2312" w:eastAsia="仿宋_GB2312"/>
                <w:sz w:val="21"/>
                <w:b/>
              </w:rPr>
              <w:t>2、内业图斑勾绘</w:t>
            </w:r>
          </w:p>
          <w:p>
            <w:pPr>
              <w:pStyle w:val="null3"/>
              <w:ind w:firstLine="560"/>
            </w:pPr>
            <w:r>
              <w:rPr>
                <w:rFonts w:ascii="仿宋_GB2312" w:hAnsi="仿宋_GB2312" w:cs="仿宋_GB2312" w:eastAsia="仿宋_GB2312"/>
                <w:sz w:val="21"/>
              </w:rPr>
              <w:t>对原有林业部门的图形信息进行扫描，将扫描后的图形加载到村级行政区域中，根据地籍子区边界对林业图斑底图进行地理配准，根据已配准林业图斑底图和发证档案逐图斑进行图形边界线的矢量化工作。对矢量化的图形按照村级界限的范围进行拼接，拼接完整的村级按照地籍子区的界限范围、明显拐点等信息进行图形的旋转、平移等图形的矫正。对于不能拼接的图形、或拼接后无法确定和实际的地籍子区套合的图形，协调林业部门人员、林权相关人员进行矫正工作。矢量数据勾绘完成之后填补图层属性，以村为单位对勾绘图斑数据进行拓扑检查与入库预处理。</w:t>
            </w:r>
          </w:p>
          <w:p>
            <w:pPr>
              <w:pStyle w:val="null3"/>
              <w:ind w:firstLine="560"/>
            </w:pPr>
            <w:r>
              <w:rPr>
                <w:rFonts w:ascii="仿宋_GB2312" w:hAnsi="仿宋_GB2312" w:cs="仿宋_GB2312" w:eastAsia="仿宋_GB2312"/>
                <w:sz w:val="21"/>
                <w:b/>
              </w:rPr>
              <w:t>3、林权登记数据整理</w:t>
            </w:r>
          </w:p>
          <w:p>
            <w:pPr>
              <w:pStyle w:val="null3"/>
              <w:ind w:firstLine="560"/>
            </w:pPr>
            <w:r>
              <w:rPr>
                <w:rFonts w:ascii="仿宋_GB2312" w:hAnsi="仿宋_GB2312" w:cs="仿宋_GB2312" w:eastAsia="仿宋_GB2312"/>
                <w:sz w:val="21"/>
              </w:rPr>
              <w:t>将林权确权数据库根据《不动产登记数据库标准》（试行）转换至不动产登记数据库，对于缺失的信息，对照现有的不动产登记系统的要求，结合林业部门的档案材料，将不动产统一登记要求的林业数据录入到数据库中，以方便该部分林业登记发证信息的查询和使用。</w:t>
            </w:r>
          </w:p>
          <w:p>
            <w:pPr>
              <w:pStyle w:val="null3"/>
              <w:ind w:firstLine="560"/>
            </w:pPr>
            <w:r>
              <w:rPr>
                <w:rFonts w:ascii="仿宋_GB2312" w:hAnsi="仿宋_GB2312" w:cs="仿宋_GB2312" w:eastAsia="仿宋_GB2312"/>
                <w:sz w:val="21"/>
                <w:b/>
              </w:rPr>
              <w:t>4、数据整合关联</w:t>
            </w:r>
          </w:p>
          <w:p>
            <w:pPr>
              <w:pStyle w:val="null3"/>
              <w:ind w:firstLine="560"/>
            </w:pPr>
            <w:r>
              <w:rPr>
                <w:rFonts w:ascii="仿宋_GB2312" w:hAnsi="仿宋_GB2312" w:cs="仿宋_GB2312" w:eastAsia="仿宋_GB2312"/>
                <w:sz w:val="21"/>
              </w:rPr>
              <w:t>数据整合关联主要是对数据规范化整理成果进行整合形成符合标准的不动产登记数据。将整合后的空间数据和非空间数据进行关联，按照不动产单元编码规则对林权数据进行不动产单元编号，用不动产单元编号把不动产和不动产权利关联，用业务号实现不动产权利和档案数据的关联，最终形成空间数据、登记数据、档案数据关联，历史和现状信息清晰完整的不动产登记信息。</w:t>
            </w:r>
          </w:p>
          <w:p>
            <w:pPr>
              <w:pStyle w:val="null3"/>
              <w:ind w:firstLine="560"/>
            </w:pPr>
            <w:r>
              <w:rPr>
                <w:rFonts w:ascii="仿宋_GB2312" w:hAnsi="仿宋_GB2312" w:cs="仿宋_GB2312" w:eastAsia="仿宋_GB2312"/>
                <w:sz w:val="21"/>
                <w:b/>
              </w:rPr>
              <w:t>5、</w:t>
            </w:r>
            <w:r>
              <w:rPr>
                <w:rFonts w:ascii="仿宋_GB2312" w:hAnsi="仿宋_GB2312" w:cs="仿宋_GB2312" w:eastAsia="仿宋_GB2312"/>
                <w:sz w:val="21"/>
                <w:b/>
              </w:rPr>
              <w:t>数据质检入库</w:t>
            </w:r>
          </w:p>
          <w:p>
            <w:pPr>
              <w:pStyle w:val="null3"/>
              <w:ind w:firstLine="560"/>
            </w:pPr>
            <w:r>
              <w:rPr>
                <w:rFonts w:ascii="仿宋_GB2312" w:hAnsi="仿宋_GB2312" w:cs="仿宋_GB2312" w:eastAsia="仿宋_GB2312"/>
                <w:sz w:val="21"/>
              </w:rPr>
              <w:t>数据整合完成后需要进行质量检查，空间数据检查包括图层名称规范性、属性数据结构一致性、代码一致性、数值范围符合性、空间要素拓扑关系正确性、碎片多边形、碎线检查等</w:t>
            </w:r>
            <w:r>
              <w:rPr>
                <w:rFonts w:ascii="仿宋_GB2312" w:hAnsi="仿宋_GB2312" w:cs="仿宋_GB2312" w:eastAsia="仿宋_GB2312"/>
                <w:sz w:val="21"/>
              </w:rPr>
              <w:t>；</w:t>
            </w:r>
            <w:r>
              <w:rPr>
                <w:rFonts w:ascii="仿宋_GB2312" w:hAnsi="仿宋_GB2312" w:cs="仿宋_GB2312" w:eastAsia="仿宋_GB2312"/>
                <w:sz w:val="21"/>
              </w:rPr>
              <w:t>非空间信息检查包括完整性、属性数据结构一致性、代码一致性、数值范围符合性、逻辑一致性检查等。</w:t>
            </w:r>
          </w:p>
          <w:p>
            <w:pPr>
              <w:pStyle w:val="null3"/>
              <w:ind w:firstLine="560"/>
            </w:pPr>
            <w:r>
              <w:rPr>
                <w:rFonts w:ascii="仿宋_GB2312" w:hAnsi="仿宋_GB2312" w:cs="仿宋_GB2312" w:eastAsia="仿宋_GB2312"/>
                <w:sz w:val="21"/>
              </w:rPr>
              <w:t>将质检通过后的林权档案数字化成果按照《不动产登记数据库标准》（试行）对基础地理信息、林权数据、权利数据、权利人数据、登记业务等进行数据组织、编码、入库，建成支撑不动产登记信息管理基础平台运行的不动产登记数据库（林权），并生成不动产登记（林权）元数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依据详细评分项拟派</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1、乙方应按合同约定的工期交付合格成果资料。 2、乙方应根据工作内容，选派合格的工程技术人员、配备高精度仪器设备完成工作。 3、乙方应按甲方要求严格组织、精心实施，及时提交完整并符合质量要求的成果资料。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乙方应按合同约定的工期交付合格成果资料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未按合同要求履行，不符合招标技术要求，成交供应商必须无条件更换人员或产品，提高技术，完善质量，否则，采购人有权终止合同，并对成交供应商的违约行为进行追究并依法向成交供应商进行经济索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本项目所属行业：软件和信息技术服务业 中小企业划分标准：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法定代表人授权书（附法定代表人身份证复印件）及被授权人身份证（法定代表人直接参加磋商的只需提供法定代表人身份证）；</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供应商须具备测绘乙级及以上资质；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技术要求偏离表.docx 供应商应提交的相关资格证明材料.docx 投标供应商认为有必要补充说明的事项.docx 中小企业声明函 残疾人福利性单位声明函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(1)报价表填写符合要求； (2)计量单位、报价货币均符合要求； (3)报价未超出采购预算或文件规定的最高限价；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响应文件按照征集文件要求编制，内容齐全， 无重大缺漏项。</w:t>
            </w:r>
          </w:p>
        </w:tc>
        <w:tc>
          <w:tcPr>
            <w:tcW w:type="dxa" w:w="1661"/>
          </w:tcPr>
          <w:p>
            <w:pPr>
              <w:pStyle w:val="null3"/>
            </w:pPr>
            <w:r>
              <w:rPr>
                <w:rFonts w:ascii="仿宋_GB2312" w:hAnsi="仿宋_GB2312" w:cs="仿宋_GB2312" w:eastAsia="仿宋_GB2312"/>
              </w:rPr>
              <w:t>响应文件封面 技术要求偏离表.docx 供应商应提交的相关资格证明材料.docx 中小企业声明函 残疾人福利性单位声明函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完全理解并接受对合格供应商、合格的货物、 工程或服务要求，根据磋商文件中服务要求"★" 标识的实质性要求没有负编离。</w:t>
            </w:r>
          </w:p>
        </w:tc>
        <w:tc>
          <w:tcPr>
            <w:tcW w:type="dxa" w:w="1661"/>
          </w:tcPr>
          <w:p>
            <w:pPr>
              <w:pStyle w:val="null3"/>
            </w:pPr>
            <w:r>
              <w:rPr>
                <w:rFonts w:ascii="仿宋_GB2312" w:hAnsi="仿宋_GB2312" w:cs="仿宋_GB2312" w:eastAsia="仿宋_GB2312"/>
              </w:rPr>
              <w:t>技术要求偏离表.docx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供应商具有近三年（2022年11月至今）的类似项目业绩（合同复印件或中标通知书并加盖供应商公章）每个计2分，最多计10分。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拟投入本项目服务团队人员数量、组成结构、执业资格、从业经验等方面。组织结构较合理，专业配备齐全、人员分工明确赋10（含10分）-15分；组织结构较合理，专业配备较齐全，人员分工一般赋5（含5分）-10分；组织结构欠合理，专业配备欠齐全，人员分工不明确赋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实施方案，描述详细，方案满足项目服务要求，能实现项目目标。方案描述详细、满足项目要求，响应项目要求的赋10（含10分)-15分；方案描述较详细，仅响应总体方案和服务方案但无实施计划赋5(含5分）-10分；方案描述不详细，设计方案不满足项目服务要求赋 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针对本项目编制可行的质量管理保证措施，措施满足服务要求，能确保质量。措施得当、完全保证质量的赋10（含10分)-15分；措施较得当，基本能保证质量赋5(含5分）-10分；措施一般赋 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对本项目实施过程中重点难点分析及应对措施。重难点理解到位、应对措施合理可行的赋7（含7分）-10分；重难点理解基本到位、应对措施较为合理可行的赋4（含4分）-7分；重难点理解不到位、应对措施较差的赋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组织、管理及技术支持</w:t>
            </w:r>
          </w:p>
        </w:tc>
        <w:tc>
          <w:tcPr>
            <w:tcW w:type="dxa" w:w="2492"/>
          </w:tcPr>
          <w:p>
            <w:pPr>
              <w:pStyle w:val="null3"/>
            </w:pPr>
            <w:r>
              <w:rPr>
                <w:rFonts w:ascii="仿宋_GB2312" w:hAnsi="仿宋_GB2312" w:cs="仿宋_GB2312" w:eastAsia="仿宋_GB2312"/>
              </w:rPr>
              <w:t>企业组织架构完整、内部管理制度健全、技术支持体系完善赋7（含7分）-10分；企业组织架构欠完整、内部管理制度欠健全、技术支持体系欠完善赋4（含4分）-7分；企业组织架构、内部管理制度及技术支持体系简略赋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供应商对项目实施过程中的服务做出服务承诺，包括但不限于服务质量承诺、服务期限、人员到位及合同完成后售后服务承诺。 后期服务承诺内容详尽，措施合理、可行赋10（含10分）-15分；后期服务承诺内容具体，较合理、措施较合理、可行赋5（含5分）-10分；后期服务承诺内容简略，措施不合理、可行赋1（含1分）-5分，未提供本项内容不赋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满足磋商文件要求且投标价格最低的投标报价为评标基准价，其价格分为满分。其他投标供应商的价格分统一按照下列公式计算：投标报价得分=（评标基准价/投标报价）×10%×100。 按照财政部财库【2007】2号、【2020】46号、【2014】68号、【2006】90号、【2017】141文件的有关规定，对小型、微型企业、监狱企业、残疾人福利性单位产品价格给予6%的扣除，用扣除后的价格参与评审。对国家认定的节能环保产品给予价格评标总分值4%的加分。同时符合多项扶持政策的，价格扣除和加分因素可以叠加计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详见附件：技术要求偏离表.docx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详见附件：佛坪林权登记项目合同模版.docx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