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版本号：LTHZ-2026-FP00120260119001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佛坪县养老服务中心建设项目场地准备及临时设施清理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LTHZ-2026-FP001</w:t>
      </w:r>
      <w:r>
        <w:br/>
      </w:r>
      <w:r>
        <w:br/>
      </w:r>
      <w:r>
        <w:br/>
      </w:r>
    </w:p>
    <w:p>
      <w:pPr>
        <w:pStyle w:val="null3"/>
        <w:jc w:val="center"/>
        <w:outlineLvl w:val="2"/>
      </w:pPr>
      <w:r>
        <w:rPr>
          <w:rFonts w:ascii="仿宋_GB2312" w:hAnsi="仿宋_GB2312" w:cs="仿宋_GB2312" w:eastAsia="仿宋_GB2312"/>
          <w:sz w:val="28"/>
          <w:b/>
        </w:rPr>
        <w:t>佛坪县民政局</w:t>
      </w:r>
    </w:p>
    <w:p>
      <w:pPr>
        <w:pStyle w:val="null3"/>
        <w:jc w:val="center"/>
        <w:outlineLvl w:val="2"/>
      </w:pPr>
      <w:r>
        <w:rPr>
          <w:rFonts w:ascii="仿宋_GB2312" w:hAnsi="仿宋_GB2312" w:cs="仿宋_GB2312" w:eastAsia="仿宋_GB2312"/>
          <w:sz w:val="28"/>
          <w:b/>
        </w:rPr>
        <w:t>兰天项目管理有限公司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兰天项目管理有限公司</w:t>
      </w:r>
      <w:r>
        <w:rPr>
          <w:rFonts w:ascii="仿宋_GB2312" w:hAnsi="仿宋_GB2312" w:cs="仿宋_GB2312" w:eastAsia="仿宋_GB2312"/>
        </w:rPr>
        <w:t>（以下简称“代理机构”）受</w:t>
      </w:r>
      <w:r>
        <w:rPr>
          <w:rFonts w:ascii="仿宋_GB2312" w:hAnsi="仿宋_GB2312" w:cs="仿宋_GB2312" w:eastAsia="仿宋_GB2312"/>
        </w:rPr>
        <w:t>佛坪县民政局</w:t>
      </w:r>
      <w:r>
        <w:rPr>
          <w:rFonts w:ascii="仿宋_GB2312" w:hAnsi="仿宋_GB2312" w:cs="仿宋_GB2312" w:eastAsia="仿宋_GB2312"/>
        </w:rPr>
        <w:t>委托，拟对</w:t>
      </w:r>
      <w:r>
        <w:rPr>
          <w:rFonts w:ascii="仿宋_GB2312" w:hAnsi="仿宋_GB2312" w:cs="仿宋_GB2312" w:eastAsia="仿宋_GB2312"/>
        </w:rPr>
        <w:t>佛坪县养老服务中心建设项目场地准备及临时设施清理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LTHZ-2026-FP001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佛坪县养老服务中心建设项目场地准备及临时设施清理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工程概况：土方开挖及外运，砍伐及挖除树根，树木移栽等。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采购包1（佛坪县养老服务中心建设项目场地准备及临时设施清理）：属于专门面向中小企业采购。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台法有效;</w:t>
      </w:r>
    </w:p>
    <w:p>
      <w:pPr>
        <w:pStyle w:val="null3"/>
      </w:pPr>
      <w:r>
        <w:rPr>
          <w:rFonts w:ascii="仿宋_GB2312" w:hAnsi="仿宋_GB2312" w:cs="仿宋_GB2312" w:eastAsia="仿宋_GB2312"/>
        </w:rPr>
        <w:t>2、法定代表人授权书及被授权人身份证明：法定代表人授权书（附法定代表人身份证复印件）及被授权人身份证（法定代表人直接参加投标只须提供法定代表人身份证）；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汉中市政府采购供应商资格承诺函：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4、企业资质要求：投标单位具备建设行政主管部门核发的建筑工程施工总承包三级及以上资质，具有合格有效的安全生产许可证，并在人员、设备、资金等方面具备相应的施工能力；</w:t>
      </w:r>
    </w:p>
    <w:p>
      <w:pPr>
        <w:pStyle w:val="null3"/>
      </w:pPr>
      <w:r>
        <w:rPr>
          <w:rFonts w:ascii="仿宋_GB2312" w:hAnsi="仿宋_GB2312" w:cs="仿宋_GB2312" w:eastAsia="仿宋_GB2312"/>
        </w:rPr>
        <w:t>5、项目经理资格要求：申请人拟派项目负责人需具备建筑工程二级注册建造师及以上执业资格，具备有效的安全生产考核合格证书，在本单位注册且未担任其他在建工程的项目负责人；</w:t>
      </w:r>
    </w:p>
    <w:p>
      <w:pPr>
        <w:pStyle w:val="null3"/>
      </w:pPr>
      <w:r>
        <w:rPr>
          <w:rFonts w:ascii="仿宋_GB2312" w:hAnsi="仿宋_GB2312" w:cs="仿宋_GB2312" w:eastAsia="仿宋_GB2312"/>
        </w:rPr>
        <w:t>6、中小企业声明函：本项目专门面向中小企业采购，供应商应为中小微企业，须提供《中小企业声明函》并对真实性负责；</w:t>
      </w:r>
    </w:p>
    <w:p>
      <w:pPr>
        <w:pStyle w:val="null3"/>
      </w:pPr>
      <w:r>
        <w:rPr>
          <w:rFonts w:ascii="仿宋_GB2312" w:hAnsi="仿宋_GB2312" w:cs="仿宋_GB2312" w:eastAsia="仿宋_GB2312"/>
        </w:rPr>
        <w:t>7、非联合体投标承诺函：本项目不接受联合体投标，单位负责人为同一人或者存在直接控股、管理关系的不同单位，不得同时参加本项目投标（提供书面证明材料）</w:t>
      </w:r>
    </w:p>
    <w:p>
      <w:pPr>
        <w:pStyle w:val="null3"/>
      </w:pPr>
      <w:r>
        <w:rPr>
          <w:rFonts w:ascii="仿宋_GB2312" w:hAnsi="仿宋_GB2312" w:cs="仿宋_GB2312" w:eastAsia="仿宋_GB2312"/>
        </w:rPr>
        <w:t>8、供应商需提供项目所在地人社部门出具的无拖欠农民工工资证明：以供应商提供项目所在地人社部门出具的无拖欠农民工工资证明复印件加盖公章为准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佛坪县熊猫大道1号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佛坪县民政局（县民族宗教事务局）经办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15877591319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兰天项目管理有限公司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汉中市汉台区七里街道办事处益州路和谐春天110号楼2F营业房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0916-8861800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采购包1：294,463.72元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开户名称：兰天项目管理有限公司汉中分公司</w:t>
            </w:r>
          </w:p>
          <w:p>
            <w:pPr>
              <w:pStyle w:val="null3"/>
            </w:pPr>
            <w:r>
              <w:rPr>
                <w:rFonts w:ascii="仿宋_GB2312" w:hAnsi="仿宋_GB2312" w:cs="仿宋_GB2312" w:eastAsia="仿宋_GB2312"/>
              </w:rPr>
              <w:t>开户银行：中国建设银行股份有限公司汉中分行营业部</w:t>
            </w:r>
          </w:p>
          <w:p>
            <w:pPr>
              <w:pStyle w:val="null3"/>
            </w:pPr>
            <w:r>
              <w:rPr>
                <w:rFonts w:ascii="仿宋_GB2312" w:hAnsi="仿宋_GB2312" w:cs="仿宋_GB2312" w:eastAsia="仿宋_GB2312"/>
              </w:rPr>
              <w:t>银行账号：61050165001500000799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佛坪县民政局</w:t>
      </w:r>
      <w:r>
        <w:rPr>
          <w:rFonts w:ascii="仿宋_GB2312" w:hAnsi="仿宋_GB2312" w:cs="仿宋_GB2312" w:eastAsia="仿宋_GB2312"/>
        </w:rPr>
        <w:t>和</w:t>
      </w:r>
      <w:r>
        <w:rPr>
          <w:rFonts w:ascii="仿宋_GB2312" w:hAnsi="仿宋_GB2312" w:cs="仿宋_GB2312" w:eastAsia="仿宋_GB2312"/>
        </w:rPr>
        <w:t>兰天项目管理有限公司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兰天项目管理有限公司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兰天项目管理有限公司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达到国家及行业标准及采购人要求“合格”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兰天项目管理有限公司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兰天项目管理有限公司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兰天项目管理有限公司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联系电话：0916-8861800</w:t>
      </w:r>
    </w:p>
    <w:p>
      <w:pPr>
        <w:pStyle w:val="null3"/>
      </w:pPr>
      <w:r>
        <w:rPr>
          <w:rFonts w:ascii="仿宋_GB2312" w:hAnsi="仿宋_GB2312" w:cs="仿宋_GB2312" w:eastAsia="仿宋_GB2312"/>
        </w:rPr>
        <w:t>地址：兰天项目管理有限公司(汉中市汉台区七里街道办事处益州路和谐春天110号楼2F营业房)</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294,463.72</w:t>
      </w:r>
    </w:p>
    <w:p>
      <w:pPr>
        <w:pStyle w:val="null3"/>
      </w:pPr>
      <w:r>
        <w:rPr>
          <w:rFonts w:ascii="仿宋_GB2312" w:hAnsi="仿宋_GB2312" w:cs="仿宋_GB2312" w:eastAsia="仿宋_GB2312"/>
        </w:rPr>
        <w:t>采购包最高限价（元）: 294,463.72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294,463.72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达到国家及行业标准及采购人要求</w:t>
            </w:r>
            <w:r>
              <w:rPr>
                <w:rFonts w:ascii="仿宋_GB2312" w:hAnsi="仿宋_GB2312" w:cs="仿宋_GB2312" w:eastAsia="仿宋_GB2312"/>
                <w:sz w:val="21"/>
              </w:rPr>
              <w:t>“合格”</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工期：</w:t>
            </w:r>
            <w:r>
              <w:rPr>
                <w:rFonts w:ascii="仿宋_GB2312" w:hAnsi="仿宋_GB2312" w:cs="仿宋_GB2312" w:eastAsia="仿宋_GB2312"/>
                <w:sz w:val="19"/>
                <w:color w:val="000000"/>
              </w:rPr>
              <w:t>30</w:t>
            </w:r>
            <w:r>
              <w:rPr>
                <w:rFonts w:ascii="仿宋_GB2312" w:hAnsi="仿宋_GB2312" w:cs="仿宋_GB2312" w:eastAsia="仿宋_GB2312"/>
                <w:sz w:val="19"/>
                <w:color w:val="000000"/>
              </w:rPr>
              <w:t>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土方开挖及外运，砍伐及挖除树根，树木移栽等。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工期30日历天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具有独立承担民事责任能力的法人、其他组织或自然人，营业执照、组织机构代码证、税务登记证(多证合一只提供营业执照，事业单位提供事业单位法人证书，自然人提供本人身份证)台法有效;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投标单位具备建设行政主管部门核发的建筑工程施工总承包三级及以上资质，具有合格有效的安全生产许可证，并在人员、设备、资金等方面具备相应的施工能力；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申请人拟派项目负责人需具备建筑工程二级注册建造师及以上执业资格，具备有效的安全生产考核合格证书，在本单位注册且未担任其他在建工程的项目负责人；</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本项目专门面向中小企业采购，供应商应为中小微企业，须提供《中小企业声明函》并对真实性负责；</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非联合体投标承诺函</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本项目不接受联合体投标，单位负责人为同一人或者存在直接控股、管理关系的不同单位，不得同时参加本项目投标（提供书面证明材料）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供应商需提供项目所在地人社部门出具的无拖欠农民工工资证明</w:t>
            </w:r>
          </w:p>
        </w:tc>
        <w:tc>
          <w:tcPr>
            <w:tcW w:type="dxa" w:w="3322"/>
          </w:tcPr>
          <w:p>
            <w:pPr>
              <w:pStyle w:val="null3"/>
            </w:pPr>
            <w:r>
              <w:rPr>
                <w:rFonts w:ascii="仿宋_GB2312" w:hAnsi="仿宋_GB2312" w:cs="仿宋_GB2312" w:eastAsia="仿宋_GB2312"/>
              </w:rPr>
              <w:t>以供应商提供项目所在地人社部门出具的无拖欠农民工工资证明复印件加盖公章为准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汉中市政府采购资格承诺函.docx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供应商应提交的相关资格证明材料 汉中市政府采购资格承诺函.docx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实施方案进行综合评审。（总体方案详细、思路清晰，可行性高，对项目的理解准确、针对性强得10-15分；总体方案比较详细、思路较清晰，基本可行，对项目的理解较准确、针对性较强得5-9.9分；总体方案合理性、可行性较差，对项目的理解不准确得1-4.9分。无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置进行综合评审。（项目团队人员配备合理，分工明确，职责清晰得7-10分；项目团队人员配备较合理，分工较明确，职责较清晰得4-6.9分；项目团队人员配备基本合理，分工基本明确，职责基本清晰得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安全生产施工的保证措施</w:t>
            </w:r>
          </w:p>
        </w:tc>
        <w:tc>
          <w:tcPr>
            <w:tcW w:type="dxa" w:w="2492"/>
          </w:tcPr>
          <w:p>
            <w:pPr>
              <w:pStyle w:val="null3"/>
            </w:pPr>
            <w:r>
              <w:rPr>
                <w:rFonts w:ascii="仿宋_GB2312" w:hAnsi="仿宋_GB2312" w:cs="仿宋_GB2312" w:eastAsia="仿宋_GB2312"/>
              </w:rPr>
              <w:t>对本项目安全生产的保证措施及环境保护措施进行综合评审。（保证措施科学、合理、可行性高计7-10分；保证措施较合理、内容完整计4-6.9分；保证措施不完整、可行性较差计1-3.9分。未提供此项内容不得分）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对本项目环境文明施工、保护措施进行综合评审。保证措施科学、合理、可行性高计3-5分；保证措施不完整、可行性较差计1-2.9分；未提供此项内容不得分）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对本项目工期的保证措施进行综合评审。（保证措施科学、合理、可行性高计7-10分；保证措施较合理 、内容完整计4-6.9分；保证措施不完整、可行性较差计1-3.9分；未提供此项内容不得分）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 月1日至今完成的类似业绩证明，每提供一份得3分，最高得6分；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1、具备工程类中级及以上职称得2分，初级职称得1分； 评审依据：以申请人职称原件或电子证件为准； 2、具有3年（含）及以上类似工程施工工作经验得3分（以执业资格证或建造师注册证书发证发证时间为准），3年以下的得1分；评审依据：以申请人加盖公章的执业资格证或建造师注册证书发证时间为准。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详见附件：汉中市政府采购资格承诺函.docx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详见附件：佛坪县养老服务中心建设项目场地准备及临时设施清理合同文本.docx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