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FA37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施工组织设计</w:t>
      </w:r>
    </w:p>
    <w:p w14:paraId="2AC8356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both"/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磋商文件第六章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磋商办法</w:t>
      </w:r>
      <w:r>
        <w:rPr>
          <w:rFonts w:hint="eastAsia" w:cs="宋体"/>
          <w:b w:val="0"/>
          <w:bCs/>
          <w:sz w:val="28"/>
          <w:szCs w:val="28"/>
          <w:lang w:val="en-US" w:eastAsia="zh-CN"/>
        </w:rPr>
        <w:t>评分标准编写施工组织设计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53B9439C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2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冠</cp:lastModifiedBy>
  <dcterms:modified xsi:type="dcterms:W3CDTF">2026-02-13T08:13:53Z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eyJoZGlkIjoiZGQ0YTRlZTc4NmVlMGViOTQ2M2Y4NWJhN2NmOWI1MzEiLCJ1c2VySWQiOiI0OTg5MTI4NTYifQ==</vt:lpwstr>
  </property>
  <property fmtid="{D5CDD505-2E9C-101B-9397-08002B2CF9AE}" pid="4" name="ICV">
    <vt:lpwstr>73A27B1D24F64C4A83DA4F530753D41B_12</vt:lpwstr>
  </property>
</Properties>
</file>