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版本号：SJR2026-ZC022420260226002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2026年佛坪中心敬老院购买第三方院民住院生活照料陪护服务项目采购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SJR2026-ZC0224</w:t>
      </w:r>
      <w:r>
        <w:br/>
      </w:r>
      <w:r>
        <w:br/>
      </w:r>
      <w:r>
        <w:br/>
      </w:r>
    </w:p>
    <w:p>
      <w:pPr>
        <w:pStyle w:val="null3"/>
        <w:jc w:val="center"/>
        <w:outlineLvl w:val="2"/>
      </w:pPr>
      <w:r>
        <w:rPr>
          <w:rFonts w:ascii="仿宋_GB2312" w:hAnsi="仿宋_GB2312" w:cs="仿宋_GB2312" w:eastAsia="仿宋_GB2312"/>
          <w:sz w:val="28"/>
          <w:b/>
        </w:rPr>
        <w:t>佛坪县中心敬老院</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佛坪县中心敬老院</w:t>
      </w:r>
      <w:r>
        <w:rPr>
          <w:rFonts w:ascii="仿宋_GB2312" w:hAnsi="仿宋_GB2312" w:cs="仿宋_GB2312" w:eastAsia="仿宋_GB2312"/>
        </w:rPr>
        <w:t>委托，拟对</w:t>
      </w:r>
      <w:r>
        <w:rPr>
          <w:rFonts w:ascii="仿宋_GB2312" w:hAnsi="仿宋_GB2312" w:cs="仿宋_GB2312" w:eastAsia="仿宋_GB2312"/>
        </w:rPr>
        <w:t>2026年佛坪中心敬老院购买第三方院民住院生活照料陪护服务项目采购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SJR2026-ZC0224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2026年佛坪中心敬老院购买第三方院民住院生活照料陪护服务项目采购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佛坪县中心敬老院老人住院生活照料陪护服务，为老人提供住院期间生活照料。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采购包1（2026年佛坪中心敬老院购买第三方院民住院生活照料陪护服务项目）：属于专门面向中小企业采购。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 供有效的统一社会信用代码的营业执照，事业法人应提供事业单位法人证、组织机 构代码证等证明文件，其他组织应提供相应的合法证明文件，自然人提供身份证明 文件；</w:t>
      </w:r>
    </w:p>
    <w:p>
      <w:pPr>
        <w:pStyle w:val="null3"/>
      </w:pPr>
      <w:r>
        <w:rPr>
          <w:rFonts w:ascii="仿宋_GB2312" w:hAnsi="仿宋_GB2312" w:cs="仿宋_GB2312" w:eastAsia="仿宋_GB2312"/>
        </w:rPr>
        <w:t>2、法定代表人身份证明：须出具法定代表人身份证扫描件并与营业执照上信息一致。</w:t>
      </w:r>
    </w:p>
    <w:p>
      <w:pPr>
        <w:pStyle w:val="null3"/>
      </w:pPr>
      <w:r>
        <w:rPr>
          <w:rFonts w:ascii="仿宋_GB2312" w:hAnsi="仿宋_GB2312" w:cs="仿宋_GB2312" w:eastAsia="仿宋_GB2312"/>
        </w:rPr>
        <w:t>3、供应商资格承诺函：提供《汉中市政府采购供应商资格承诺函》。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佛坪县长角坝镇教场坝村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0916-8993060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开户银行：中国工商银行股份有限公司西安北大街支行</w:t>
            </w:r>
          </w:p>
          <w:p>
            <w:pPr>
              <w:pStyle w:val="null3"/>
            </w:pPr>
            <w:r>
              <w:rPr>
                <w:rFonts w:ascii="仿宋_GB2312" w:hAnsi="仿宋_GB2312" w:cs="仿宋_GB2312" w:eastAsia="仿宋_GB2312"/>
              </w:rPr>
              <w:t>银行账号：3700111609200048771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佛坪县中心敬老院</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地址：汉中市汉台区天汉文化产业园A6-A7号楼二楼D-10</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佛坪县中心敬老院老人住院生活照料陪护服务，为老人提供住院期间生活照料。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2026年佛坪县中心敬老院购买第三方院民住院生活照料陪护服务项目采购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标的名称：2026年佛坪县中心敬老院购买第三方院民住院生活照料陪护服务项目采购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护理人员类型及要求</w:t>
            </w:r>
          </w:p>
          <w:tbl>
            <w:tblPr>
              <w:tblBorders>
                <w:top w:val="none" w:color="000000" w:sz="4"/>
                <w:left w:val="none" w:color="000000" w:sz="4"/>
                <w:bottom w:val="none" w:color="000000" w:sz="4"/>
                <w:right w:val="none" w:color="000000" w:sz="4"/>
                <w:insideH w:val="none"/>
                <w:insideV w:val="none"/>
              </w:tblBorders>
            </w:tblPr>
            <w:tblGrid>
              <w:gridCol w:w="227"/>
              <w:gridCol w:w="686"/>
              <w:gridCol w:w="1640"/>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护理人员类型及要求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类型</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陪护要求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失能人员陪护</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24小时床边陪护（吃饭如厕外）给患者洗脸，梳头，漱口，服药  给病喂饭人（餐后清洗餐具）行大小便（便后清倒便器），床上擦浴，洗头，剪指（趾）甲，帮助患者翻身，过床，扣背，及时更换污湿衣裤，被服，保持床单被服干净整洁，观察病情，皮肤护理，和肢体被动锻炼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半自理人员陪护</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协助患者洗脸，梳头，漱口，服药</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，吃饭（餐后清洗餐具），行大小便（便后清倒便器），床上擦浴，洗头，剪指（趾）甲，帮助患者翻身，过床，扣背，及时更换污湿衣裤，被服，保持床单被服干净整洁保证病人安全，做好康复锻炼</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自理人员陪护</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协助患者洗脸，梳头，漱口，服药</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，吃饭（餐后清洗餐具），行大小便（便后清倒便器），床上擦浴，洗头，剪指（趾）甲，扣背，及时更换污湿衣裤，被服，保持床单被服干净整洁。防止病人走失</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护理人员类型以人社部门认定标准为依据。</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4"/>
                <w:b/>
                <w:color w:val="000000"/>
              </w:rPr>
              <w:t>护理内容及要求</w:t>
            </w: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401"/>
              <w:gridCol w:w="1583"/>
              <w:gridCol w:w="569"/>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护理内容及要求</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个人卫生</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洗脸</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洗脚</w:t>
                  </w:r>
                </w:p>
              </w:tc>
              <w:tc>
                <w:tcPr>
                  <w:tcW w:type="dxa" w:w="5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均为</w:t>
                  </w:r>
                  <w:r>
                    <w:rPr>
                      <w:rFonts w:ascii="仿宋_GB2312" w:hAnsi="仿宋_GB2312" w:cs="仿宋_GB2312" w:eastAsia="仿宋_GB2312"/>
                      <w:sz w:val="24"/>
                      <w:color w:val="000000"/>
                    </w:rPr>
                    <w:t>24小时服务</w:t>
                  </w: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梳头</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卧床病人早晚擦身</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漱口</w:t>
                  </w:r>
                  <w:r>
                    <w:rPr>
                      <w:rFonts w:ascii="仿宋_GB2312" w:hAnsi="仿宋_GB2312" w:cs="仿宋_GB2312" w:eastAsia="仿宋_GB2312"/>
                      <w:sz w:val="24"/>
                      <w:color w:val="000000"/>
                    </w:rPr>
                    <w:t>假牙护理</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洗澡</w:t>
                  </w:r>
                  <w:r>
                    <w:rPr>
                      <w:rFonts w:ascii="仿宋_GB2312" w:hAnsi="仿宋_GB2312" w:cs="仿宋_GB2312" w:eastAsia="仿宋_GB2312"/>
                      <w:sz w:val="24"/>
                      <w:color w:val="000000"/>
                    </w:rPr>
                    <w:t>更换干净被服</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协助大小便</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清倒便盆</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及时清理失禁的大小便</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对褥疮患者，遵遗嘱按时翻身，保持创面清洁，干爽</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及时更换床单被服</w:t>
                  </w:r>
                  <w:r>
                    <w:rPr>
                      <w:rFonts w:ascii="仿宋_GB2312" w:hAnsi="仿宋_GB2312" w:cs="仿宋_GB2312" w:eastAsia="仿宋_GB2312"/>
                      <w:sz w:val="24"/>
                      <w:color w:val="000000"/>
                    </w:rPr>
                    <w:t>保持衣物</w:t>
                  </w:r>
                  <w:r>
                    <w:rPr>
                      <w:rFonts w:ascii="仿宋_GB2312" w:hAnsi="仿宋_GB2312" w:cs="仿宋_GB2312" w:eastAsia="仿宋_GB2312"/>
                      <w:sz w:val="24"/>
                      <w:color w:val="000000"/>
                    </w:rPr>
                    <w:t>床单干净整洁</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及时剪趾（指）甲</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剃胡须</w:t>
                  </w:r>
                </w:p>
              </w:tc>
              <w:tc>
                <w:tcPr>
                  <w:tcW w:type="dxa" w:w="569"/>
                  <w:vMerge/>
                  <w:tcBorders>
                    <w:top w:val="none" w:color="000000" w:sz="4"/>
                    <w:left w:val="none" w:color="000000" w:sz="4"/>
                    <w:bottom w:val="single" w:color="000000" w:sz="4"/>
                    <w:right w:val="single" w:color="000000" w:sz="4"/>
                  </w:tcBorders>
                </w:tcP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三餐护理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喂饭</w:t>
                  </w:r>
                  <w:r>
                    <w:rPr>
                      <w:rFonts w:ascii="仿宋_GB2312" w:hAnsi="仿宋_GB2312" w:cs="仿宋_GB2312" w:eastAsia="仿宋_GB2312"/>
                      <w:sz w:val="24"/>
                      <w:color w:val="000000"/>
                    </w:rPr>
                    <w:t>水</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清洗病人碗筷</w:t>
                  </w:r>
                  <w:r>
                    <w:rPr>
                      <w:rFonts w:ascii="仿宋_GB2312" w:hAnsi="仿宋_GB2312" w:cs="仿宋_GB2312" w:eastAsia="仿宋_GB2312"/>
                      <w:sz w:val="24"/>
                      <w:color w:val="000000"/>
                    </w:rPr>
                    <w:t>并放置在规定位置</w:t>
                  </w:r>
                </w:p>
              </w:tc>
              <w:tc>
                <w:tcPr>
                  <w:tcW w:type="dxa" w:w="569"/>
                  <w:vMerge/>
                  <w:tcBorders>
                    <w:top w:val="none" w:color="000000" w:sz="4"/>
                    <w:left w:val="none" w:color="000000" w:sz="4"/>
                    <w:bottom w:val="single" w:color="000000" w:sz="4"/>
                    <w:right w:val="single" w:color="000000" w:sz="4"/>
                  </w:tcBorders>
                </w:tcP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安全护理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协助坐轮椅病人摆放体位</w:t>
                  </w:r>
                  <w:r>
                    <w:rPr>
                      <w:rFonts w:ascii="仿宋_GB2312" w:hAnsi="仿宋_GB2312" w:cs="仿宋_GB2312" w:eastAsia="仿宋_GB2312"/>
                      <w:sz w:val="24"/>
                      <w:color w:val="000000"/>
                    </w:rPr>
                    <w:t>及活动关节</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协助病人舒适并缓解焦虑</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协助病人如厕</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遵遗嘱协助病人做康复锻炼</w:t>
                  </w:r>
                </w:p>
              </w:tc>
              <w:tc>
                <w:tcPr>
                  <w:tcW w:type="dxa" w:w="569"/>
                  <w:vMerge/>
                  <w:tcBorders>
                    <w:top w:val="none" w:color="000000" w:sz="4"/>
                    <w:left w:val="none" w:color="000000" w:sz="4"/>
                    <w:bottom w:val="single" w:color="000000" w:sz="4"/>
                    <w:right w:val="single" w:color="000000" w:sz="4"/>
                  </w:tcBorders>
                </w:tcP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辅助检查</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协助医护人员观察情况：发现病人发热，病情变化及输液异常等</w:t>
                  </w:r>
                  <w:r>
                    <w:rPr>
                      <w:rFonts w:ascii="仿宋_GB2312" w:hAnsi="仿宋_GB2312" w:cs="仿宋_GB2312" w:eastAsia="仿宋_GB2312"/>
                      <w:sz w:val="24"/>
                      <w:color w:val="000000"/>
                    </w:rPr>
                    <w:t>及时报告医生或者护士</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协助医生护士进行各种检查：如</w:t>
                  </w:r>
                  <w:r>
                    <w:rPr>
                      <w:rFonts w:ascii="仿宋_GB2312" w:hAnsi="仿宋_GB2312" w:cs="仿宋_GB2312" w:eastAsia="仿宋_GB2312"/>
                      <w:sz w:val="24"/>
                      <w:color w:val="000000"/>
                    </w:rPr>
                    <w:t>CT  B超  心点图  拍片  核磁   肠胃镜 等等</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入院和出院等各种手续</w:t>
                  </w:r>
                </w:p>
              </w:tc>
              <w:tc>
                <w:tcPr>
                  <w:tcW w:type="dxa" w:w="569"/>
                  <w:vMerge/>
                  <w:tcBorders>
                    <w:top w:val="none" w:color="000000" w:sz="4"/>
                    <w:left w:val="none" w:color="000000" w:sz="4"/>
                    <w:bottom w:val="single" w:color="000000" w:sz="4"/>
                    <w:right w:val="single" w:color="000000" w:sz="4"/>
                  </w:tcBorders>
                </w:tcP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心理疏导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保持良好的精神状态</w:t>
                  </w:r>
                  <w:r>
                    <w:rPr>
                      <w:rFonts w:ascii="仿宋_GB2312" w:hAnsi="仿宋_GB2312" w:cs="仿宋_GB2312" w:eastAsia="仿宋_GB2312"/>
                      <w:sz w:val="24"/>
                      <w:color w:val="000000"/>
                    </w:rPr>
                    <w:t>安抚情绪不好的患者</w:t>
                  </w:r>
                </w:p>
              </w:tc>
              <w:tc>
                <w:tcPr>
                  <w:tcW w:type="dxa" w:w="569"/>
                  <w:vMerge/>
                  <w:tcBorders>
                    <w:top w:val="none" w:color="000000" w:sz="4"/>
                    <w:left w:val="none" w:color="000000" w:sz="4"/>
                    <w:bottom w:val="single" w:color="000000" w:sz="4"/>
                    <w:right w:val="single" w:color="000000" w:sz="4"/>
                  </w:tcBorders>
                </w:tcPr>
                <w:p/>
              </w:tc>
            </w:tr>
            <w:tr>
              <w:tc>
                <w:tcPr>
                  <w:tcW w:type="dxa" w:w="401"/>
                  <w:vMerge/>
                  <w:tcBorders>
                    <w:top w:val="none" w:color="000000" w:sz="4"/>
                    <w:left w:val="single" w:color="000000" w:sz="4"/>
                    <w:bottom w:val="single" w:color="000000" w:sz="4"/>
                    <w:right w:val="single" w:color="000000" w:sz="4"/>
                  </w:tcBorders>
                </w:tc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与家属</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敬老院的工作人员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医生保持良好的沟通及配合</w:t>
                  </w:r>
                  <w:r>
                    <w:rPr>
                      <w:rFonts w:ascii="仿宋_GB2312" w:hAnsi="仿宋_GB2312" w:cs="仿宋_GB2312" w:eastAsia="仿宋_GB2312"/>
                      <w:sz w:val="24"/>
                      <w:color w:val="000000"/>
                    </w:rPr>
                    <w:t>帮助病人早日康复</w:t>
                  </w:r>
                </w:p>
              </w:tc>
              <w:tc>
                <w:tcPr>
                  <w:tcW w:type="dxa" w:w="569"/>
                  <w:vMerge/>
                  <w:tcBorders>
                    <w:top w:val="none" w:color="000000" w:sz="4"/>
                    <w:left w:val="none" w:color="000000" w:sz="4"/>
                    <w:bottom w:val="single" w:color="000000" w:sz="4"/>
                    <w:right w:val="single" w:color="000000" w:sz="4"/>
                  </w:tcBorders>
                </w:tc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传染病护理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按照医生的要求做好个人防护，对病人的用品进行严格消毒，防止交叉感染</w:t>
                  </w:r>
                </w:p>
              </w:tc>
              <w:tc>
                <w:tcPr>
                  <w:tcW w:type="dxa" w:w="569"/>
                  <w:vMerge/>
                  <w:tcBorders>
                    <w:top w:val="none" w:color="000000" w:sz="4"/>
                    <w:left w:val="none" w:color="000000" w:sz="4"/>
                    <w:bottom w:val="single" w:color="000000" w:sz="4"/>
                    <w:right w:val="single" w:color="000000" w:sz="4"/>
                  </w:tcBorders>
                </w:tc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坚守岗位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尽职尽责</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有事及时与患者</w:t>
                  </w:r>
                  <w:r>
                    <w:rPr>
                      <w:rFonts w:ascii="仿宋_GB2312" w:hAnsi="仿宋_GB2312" w:cs="仿宋_GB2312" w:eastAsia="仿宋_GB2312"/>
                      <w:sz w:val="24"/>
                      <w:color w:val="000000"/>
                    </w:rPr>
                    <w:t>敬老院的工作人员沟通</w:t>
                  </w:r>
                </w:p>
              </w:tc>
              <w:tc>
                <w:tcPr>
                  <w:tcW w:type="dxa" w:w="569"/>
                  <w:vMerge/>
                  <w:tcBorders>
                    <w:top w:val="none" w:color="000000" w:sz="4"/>
                    <w:left w:val="non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护理服务标准与要求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1）、协助住院老人做好个人卫生，及时剪指（趾）甲、理发剃须；有条件的地方，至少每周洗澡 1 次，夏季要适时增加洗澡次数。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2）、协助老人按照医院要求做好床铺卫生，保持床铺清洁，必要时及时更换、晾晒被褥。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3）、做好老人住院期间的生活照护、住（出）院手续办理等工作；当病情严重或有异常情况时，及时与老人所属敬老院机构负责人进行联系。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4）、特困人员有需求时，在符合医院管理规定或经所属敬老院负责人同意后为其代购日常用品和药品等。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5）、及时了解掌握老人住院期间思想、心理变化，发现异常情况，及时向报告老人所属敬老院负责人和公司负责人进行汇报。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6）、建立健全老人住院期间生活照护服务工作台账，敬老院采取定期和不定期的方式进行实地走访，检查老人住院的生活照料服务情况。</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7）、协助住院老人按时用餐、饮水、用药等，必要时提供临终关怀服务。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8）、及时为老人洗头、剪指（趾）甲、理发、剃须、洗澡或擦身，夏季气候炎热时，应适当增加洗澡或擦身次数。</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9）、对长期卧床、不能自主翻身的老人及时翻身，变换卧位，检查皮肤受压情况，防止褥疮发生。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10）、帮助老人人员如厕，对大小便失禁或卧床不起的老人，做到勤查看、勤换尿布、勤擦洗下身、勤更换衣被，保持特困人员清洁、无异味。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11）、为住院老人提供简单、有针对性的康复指导。视天气情况及老人身体状况，搀扶或推轮椅到户外活动或接受光照。</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12）、协助住院老人完成亲属的探视探望。</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13）、住院陪护期间需防止老人意外走失。</w:t>
            </w:r>
          </w:p>
          <w:p>
            <w:pPr>
              <w:pStyle w:val="null3"/>
              <w:ind w:firstLine="480"/>
              <w:jc w:val="left"/>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left"/>
            </w:pPr>
            <w:r>
              <w:rPr>
                <w:rFonts w:ascii="仿宋_GB2312" w:hAnsi="仿宋_GB2312" w:cs="仿宋_GB2312" w:eastAsia="仿宋_GB2312"/>
                <w:sz w:val="24"/>
              </w:rPr>
              <w:t>磋商报价要求：本项目磋商总报价为全包制，服务期为</w:t>
            </w:r>
            <w:r>
              <w:rPr>
                <w:rFonts w:ascii="仿宋_GB2312" w:hAnsi="仿宋_GB2312" w:cs="仿宋_GB2312" w:eastAsia="仿宋_GB2312"/>
                <w:sz w:val="24"/>
              </w:rPr>
              <w:t>1年，各类陪护人员单次（天）护理价不得超过下列表格中单次（天）护理价格，护理次数以采购人要求为准。</w:t>
            </w:r>
          </w:p>
          <w:tbl>
            <w:tblPr>
              <w:tblBorders>
                <w:top w:val="none" w:color="000000" w:sz="4"/>
                <w:left w:val="none" w:color="000000" w:sz="4"/>
                <w:bottom w:val="none" w:color="000000" w:sz="4"/>
                <w:right w:val="none" w:color="000000" w:sz="4"/>
                <w:insideH w:val="none"/>
                <w:insideV w:val="none"/>
              </w:tblBorders>
            </w:tblPr>
            <w:tblGrid>
              <w:gridCol w:w="231"/>
              <w:gridCol w:w="122"/>
              <w:gridCol w:w="662"/>
              <w:gridCol w:w="141"/>
              <w:gridCol w:w="190"/>
              <w:gridCol w:w="218"/>
              <w:gridCol w:w="576"/>
              <w:gridCol w:w="413"/>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金额（小写）</w:t>
                  </w:r>
                  <w:r>
                    <w:rPr>
                      <w:rFonts w:ascii="仿宋_GB2312" w:hAnsi="仿宋_GB2312" w:cs="仿宋_GB2312" w:eastAsia="仿宋_GB2312"/>
                      <w:sz w:val="24"/>
                      <w:color w:val="000000"/>
                    </w:rPr>
                    <w:t>元/天</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医院陪护</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失能人员陪护</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¥170.00</w:t>
                  </w:r>
                </w:p>
              </w:tc>
              <w:tc>
                <w:tcPr>
                  <w:tcW w:type="dxa" w:w="41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24小时 ，一对一陪护</w:t>
                  </w:r>
                </w:p>
                <w:p>
                  <w:pPr>
                    <w:pStyle w:val="null3"/>
                    <w:jc w:val="center"/>
                  </w:pPr>
                </w:p>
              </w:tc>
            </w:tr>
            <w:tr>
              <w:tc>
                <w:tcPr>
                  <w:tcW w:type="dxa" w:w="231"/>
                  <w:vMerge/>
                  <w:tcBorders>
                    <w:top w:val="none" w:color="000000" w:sz="4"/>
                    <w:left w:val="single" w:color="000000" w:sz="4"/>
                    <w:bottom w:val="non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半自理人员陪护</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w:t>
                  </w:r>
                </w:p>
              </w:tc>
              <w:tc>
                <w:tcPr>
                  <w:tcW w:type="dxa" w:w="413"/>
                  <w:vMerge/>
                  <w:tcBorders>
                    <w:top w:val="none" w:color="000000" w:sz="4"/>
                    <w:left w:val="none" w:color="000000" w:sz="4"/>
                    <w:bottom w:val="none" w:color="000000" w:sz="4"/>
                    <w:right w:val="single" w:color="000000" w:sz="4"/>
                  </w:tcBorders>
                </w:tcPr>
                <w:p/>
              </w:tc>
            </w:tr>
            <w:tr>
              <w:tc>
                <w:tcPr>
                  <w:tcW w:type="dxa" w:w="231"/>
                  <w:vMerge/>
                  <w:tcBorders>
                    <w:top w:val="none" w:color="000000" w:sz="4"/>
                    <w:left w:val="single" w:color="000000" w:sz="4"/>
                    <w:bottom w:val="non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自理人员陪护</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¥130.00</w:t>
                  </w:r>
                </w:p>
              </w:tc>
              <w:tc>
                <w:tcPr>
                  <w:tcW w:type="dxa" w:w="413"/>
                  <w:vMerge/>
                  <w:tcBorders>
                    <w:top w:val="none" w:color="000000" w:sz="4"/>
                    <w:left w:val="none" w:color="000000" w:sz="4"/>
                    <w:bottom w:val="none" w:color="000000" w:sz="4"/>
                    <w:right w:val="single" w:color="000000" w:sz="4"/>
                  </w:tcBorders>
                </w:tcPr>
                <w:p/>
              </w:tc>
            </w:tr>
            <w:tr>
              <w:tc>
                <w:tcPr>
                  <w:tcW w:type="dxa" w:w="231"/>
                  <w:vMerge/>
                  <w:tcBorders>
                    <w:top w:val="none" w:color="000000" w:sz="4"/>
                    <w:left w:val="single" w:color="000000" w:sz="4"/>
                    <w:bottom w:val="none" w:color="000000" w:sz="4"/>
                    <w:right w:val="single" w:color="000000" w:sz="4"/>
                  </w:tcBorders>
                </w:tcPr>
                <w:p/>
              </w:tc>
              <w:tc>
                <w:tcPr>
                  <w:tcW w:type="dxa" w:w="190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上级医院陪护：出佛坪县医院陪护老人单次费用增加</w:t>
                  </w:r>
                  <w:r>
                    <w:rPr>
                      <w:rFonts w:ascii="仿宋_GB2312" w:hAnsi="仿宋_GB2312" w:cs="仿宋_GB2312" w:eastAsia="仿宋_GB2312"/>
                      <w:sz w:val="24"/>
                      <w:color w:val="000000"/>
                    </w:rPr>
                    <w:t>20.00元/天</w:t>
                  </w:r>
                </w:p>
                <w:p>
                  <w:pPr>
                    <w:pStyle w:val="null3"/>
                    <w:jc w:val="center"/>
                  </w:pPr>
                  <w:r>
                    <w:rPr>
                      <w:rFonts w:ascii="仿宋_GB2312" w:hAnsi="仿宋_GB2312" w:cs="仿宋_GB2312" w:eastAsia="仿宋_GB2312"/>
                      <w:sz w:val="24"/>
                      <w:color w:val="000000"/>
                    </w:rPr>
                    <w:t>ICU陪护：住院老人ICU陪护49.00元/天</w:t>
                  </w:r>
                </w:p>
              </w:tc>
              <w:tc>
                <w:tcPr>
                  <w:tcW w:type="dxa" w:w="413"/>
                  <w:vMerge/>
                  <w:tcBorders>
                    <w:top w:val="none" w:color="000000" w:sz="4"/>
                    <w:left w:val="none" w:color="000000" w:sz="4"/>
                    <w:bottom w:val="non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服务人员不少于5人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款项结算:采购人按季度据实结算，成交供应商需开具发票及采购清单给采购人。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标准：符合国家相关标准及甲方要求。由供应商书面提出申请验收，采购人在接到申请7日内，组织验收。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服务6个月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服务9个月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服务12个月</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本项目详细评审标准：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 供有效的统一社会信用代码的营业执照，事业法人应提供事业单位法人证、组织机 构代码证等证明文件，其他组织应提供相应的合法证明文件，自然人提供身份证明 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w:t>
            </w:r>
          </w:p>
        </w:tc>
        <w:tc>
          <w:tcPr>
            <w:tcW w:type="dxa" w:w="3322"/>
          </w:tcPr>
          <w:p>
            <w:pPr>
              <w:pStyle w:val="null3"/>
            </w:pPr>
            <w:r>
              <w:rPr>
                <w:rFonts w:ascii="仿宋_GB2312" w:hAnsi="仿宋_GB2312" w:cs="仿宋_GB2312" w:eastAsia="仿宋_GB2312"/>
              </w:rPr>
              <w:t>须出具法定代表人身份证扫描件并与营业执照上信息一致。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分项报价明细表.docx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非联合体书面声明.docx 服务内容及服务邀请应答表 中小企业声明函 商务应答表 分项报价明细表.docx 报价表 类似项目业绩表.docx 响应文件封面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供应商针对本项目进行项目需求分析，内容包含但不限于：①项目内容及概况了解和分析、②现状概况、工作内容理解与分析、③本项目重点难点分析并提出解决措施。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二、评审内容： 供应商针对本项目提供项目服务方案，内容包含但不限于：①整体服务方案、②针对节假日的保障服务方案、③结合采购内容制定 3 类人员护理方案等相关内容。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具有岗位工作标准、服务质量标准、现场质量控制体系、②内控制度:管理组织机构、问责机制、监督机制、自查制度、③人员管理制度:具有员工日常管理办法、请销假制度、奖惩措施、激励机制、仪容仪表制度。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一、评审内容：供应商针对本项目提供应急预案，内容包含但不限于：①突发事件解决措施、②紧急故障处理预案、③应急服务响应时间等相关内容。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等业务流程等相关内容。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一、评审内容：供应商针对本项目制定详细、具体、可行的质量管理及保障方案，内容包含但不限于：①服务质量保障措施及考核标准、②环境卫生保障方案、③回访制度和投诉处理机制等。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特困人员照料服务方案</w:t>
            </w:r>
          </w:p>
        </w:tc>
        <w:tc>
          <w:tcPr>
            <w:tcW w:type="dxa" w:w="2492"/>
          </w:tcPr>
          <w:p>
            <w:pPr>
              <w:pStyle w:val="null3"/>
            </w:pPr>
            <w:r>
              <w:rPr>
                <w:rFonts w:ascii="仿宋_GB2312" w:hAnsi="仿宋_GB2312" w:cs="仿宋_GB2312" w:eastAsia="仿宋_GB2312"/>
              </w:rPr>
              <w:t>一、评审内容： 供应商针对本项目提供项目整体服务方案，内容包含但不限于：①特困人员照料服务周期规划及合理安排方案、②特困人员照料后续跟踪服务方案。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评审内容：供应商具有本地化服务能力，在项目所在地有常驻的服务机构或在项目所在地有分公司或办事处等作为常驻服务和技术支持机构（提供包括但不限于本地工商注册资料以及距采购人最近的服务网点情况表、人员名单、联系方式等具备售后服务能力的相关证明材料并提供本地化服务方案）。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一、评审内容：针对本项目提供人员配备方案，内容包含但不限于：人员配备情况及人员配备方案等相关内容。 二、评审标准 ：（1）方案完整、针对性强、可实施性高，得4分。 （2）方案基本完整、具有一定的针对性、可实施性，得3分。 （3）方案完整性较为全面、针对性、可实施性一般，得2分。 （4）缺乏针对性、可实施性、完整性，得1分。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供应商提供2023年01月01日至今完成的类似项目业绩证明，每提供一份得2分，最高得2分；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详见附件：非联合体书面声明.docx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