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1D4AF">
      <w:pPr>
        <w:jc w:val="center"/>
        <w:rPr>
          <w:rFonts w:hint="default" w:eastAsia="宋体"/>
          <w:b/>
          <w:color w:val="000000" w:themeColor="text1"/>
          <w:kern w:val="44"/>
          <w:sz w:val="36"/>
          <w:szCs w:val="36"/>
          <w:highlight w:val="none"/>
          <w:lang w:val="en-US" w:eastAsia="zh-CN"/>
          <w14:textFill>
            <w14:solidFill>
              <w14:schemeClr w14:val="tx1"/>
            </w14:solidFill>
          </w14:textFill>
        </w:rPr>
      </w:pPr>
      <w:r>
        <w:rPr>
          <w:rFonts w:hint="eastAsia"/>
          <w:b/>
          <w:color w:val="000000" w:themeColor="text1"/>
          <w:kern w:val="44"/>
          <w:sz w:val="36"/>
          <w:szCs w:val="36"/>
          <w:highlight w:val="none"/>
          <w:lang w:val="en-US" w:eastAsia="zh-CN"/>
          <w14:textFill>
            <w14:solidFill>
              <w14:schemeClr w14:val="tx1"/>
            </w14:solidFill>
          </w14:textFill>
        </w:rPr>
        <w:t>拟签订合同条款</w:t>
      </w:r>
    </w:p>
    <w:p w14:paraId="5D61D78F">
      <w:pPr>
        <w:jc w:val="center"/>
        <w:rPr>
          <w:rFonts w:hint="eastAsia"/>
          <w:color w:val="000000" w:themeColor="text1"/>
          <w:highlight w:val="none"/>
          <w14:textFill>
            <w14:solidFill>
              <w14:schemeClr w14:val="tx1"/>
            </w14:solidFill>
          </w14:textFill>
        </w:rPr>
      </w:pPr>
      <w:r>
        <w:rPr>
          <w:rFonts w:hint="eastAsia"/>
          <w:b/>
          <w:color w:val="000000" w:themeColor="text1"/>
          <w:kern w:val="44"/>
          <w:sz w:val="28"/>
          <w:szCs w:val="28"/>
          <w:highlight w:val="none"/>
          <w14:textFill>
            <w14:solidFill>
              <w14:schemeClr w14:val="tx1"/>
            </w14:solidFill>
          </w14:textFill>
        </w:rPr>
        <w:t>（此合同为参考合同，具体以甲乙双方协商为准）</w:t>
      </w:r>
    </w:p>
    <w:p w14:paraId="6BBA5AC2">
      <w:pPr>
        <w:jc w:val="center"/>
        <w:rPr>
          <w:rFonts w:hint="eastAsia"/>
          <w:color w:val="000000" w:themeColor="text1"/>
          <w:highlight w:val="none"/>
          <w14:textFill>
            <w14:solidFill>
              <w14:schemeClr w14:val="tx1"/>
            </w14:solidFill>
          </w14:textFill>
        </w:rPr>
      </w:pPr>
      <w:r>
        <w:rPr>
          <w:rFonts w:hint="eastAsia"/>
          <w:b/>
          <w:color w:val="000000" w:themeColor="text1"/>
          <w:kern w:val="44"/>
          <w:sz w:val="28"/>
          <w:szCs w:val="28"/>
          <w:highlight w:val="none"/>
          <w14:textFill>
            <w14:solidFill>
              <w14:schemeClr w14:val="tx1"/>
            </w14:solidFill>
          </w14:textFill>
        </w:rPr>
        <w:t>（此合同为参考合同，具体以甲乙双方协商为准）</w:t>
      </w:r>
    </w:p>
    <w:p w14:paraId="2BA6E356">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甲方：</w:t>
      </w:r>
      <w:r>
        <w:rPr>
          <w:rFonts w:ascii="Calibri" w:hAnsi="Calibri"/>
          <w:color w:val="000000" w:themeColor="text1"/>
          <w:szCs w:val="24"/>
          <w:highlight w:val="none"/>
          <w:u w:val="single"/>
          <w:lang w:bidi="ar"/>
          <w14:textFill>
            <w14:solidFill>
              <w14:schemeClr w14:val="tx1"/>
            </w14:solidFill>
          </w14:textFill>
        </w:rPr>
        <w:t xml:space="preserve">             </w:t>
      </w:r>
    </w:p>
    <w:p w14:paraId="08267BF8">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乙方：</w:t>
      </w:r>
      <w:r>
        <w:rPr>
          <w:rFonts w:ascii="Calibri" w:hAnsi="Calibri"/>
          <w:color w:val="000000" w:themeColor="text1"/>
          <w:szCs w:val="24"/>
          <w:highlight w:val="none"/>
          <w:u w:val="single"/>
          <w:lang w:bidi="ar"/>
          <w14:textFill>
            <w14:solidFill>
              <w14:schemeClr w14:val="tx1"/>
            </w14:solidFill>
          </w14:textFill>
        </w:rPr>
        <w:t xml:space="preserve">             </w:t>
      </w:r>
      <w:r>
        <w:rPr>
          <w:rFonts w:ascii="Calibri" w:hAnsi="Calibri"/>
          <w:color w:val="000000" w:themeColor="text1"/>
          <w:szCs w:val="24"/>
          <w:highlight w:val="none"/>
          <w:lang w:bidi="ar"/>
          <w14:textFill>
            <w14:solidFill>
              <w14:schemeClr w14:val="tx1"/>
            </w14:solidFill>
          </w14:textFill>
        </w:rPr>
        <w:t xml:space="preserve">  </w:t>
      </w:r>
    </w:p>
    <w:p w14:paraId="51500969">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本着合作互利的原则</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根据《中华人民共和国</w:t>
      </w:r>
      <w:r>
        <w:rPr>
          <w:rFonts w:hint="eastAsia" w:ascii="宋体" w:hAnsi="宋体" w:cs="宋体"/>
          <w:color w:val="000000" w:themeColor="text1"/>
          <w:szCs w:val="24"/>
          <w:highlight w:val="none"/>
          <w:lang w:val="en-US" w:eastAsia="zh-CN" w:bidi="ar"/>
          <w14:textFill>
            <w14:solidFill>
              <w14:schemeClr w14:val="tx1"/>
            </w14:solidFill>
          </w14:textFill>
        </w:rPr>
        <w:t>民法典</w:t>
      </w:r>
      <w:r>
        <w:rPr>
          <w:rFonts w:hint="eastAsia" w:ascii="宋体" w:hAnsi="宋体" w:cs="宋体"/>
          <w:color w:val="000000" w:themeColor="text1"/>
          <w:szCs w:val="24"/>
          <w:highlight w:val="none"/>
          <w:lang w:bidi="ar"/>
          <w14:textFill>
            <w14:solidFill>
              <w14:schemeClr w14:val="tx1"/>
            </w14:solidFill>
          </w14:textFill>
        </w:rPr>
        <w:t>》</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经甲、乙双方协商就</w:t>
      </w:r>
      <w:r>
        <w:rPr>
          <w:rFonts w:ascii="Calibri" w:hAnsi="Calibri"/>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事宜达成如下协议</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供双方遵照执行。</w:t>
      </w:r>
    </w:p>
    <w:p w14:paraId="7E7A9FED">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一、工程概况</w:t>
      </w:r>
    </w:p>
    <w:p w14:paraId="16E2EA01">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1.1</w:t>
      </w:r>
      <w:r>
        <w:rPr>
          <w:rFonts w:hint="eastAsia" w:ascii="宋体" w:hAnsi="宋体" w:cs="宋体"/>
          <w:color w:val="000000" w:themeColor="text1"/>
          <w:szCs w:val="24"/>
          <w:highlight w:val="none"/>
          <w:lang w:bidi="ar"/>
          <w14:textFill>
            <w14:solidFill>
              <w14:schemeClr w14:val="tx1"/>
            </w14:solidFill>
          </w14:textFill>
        </w:rPr>
        <w:t>、项目名称</w:t>
      </w:r>
      <w:r>
        <w:rPr>
          <w:rFonts w:ascii="Calibri" w:hAnsi="Calibri" w:cs="Calibri"/>
          <w:color w:val="000000" w:themeColor="text1"/>
          <w:szCs w:val="24"/>
          <w:highlight w:val="none"/>
          <w:lang w:bidi="ar"/>
          <w14:textFill>
            <w14:solidFill>
              <w14:schemeClr w14:val="tx1"/>
            </w14:solidFill>
          </w14:textFill>
        </w:rPr>
        <w:t xml:space="preserve">: </w:t>
      </w:r>
      <w:r>
        <w:rPr>
          <w:rFonts w:ascii="Calibri" w:hAnsi="宋体"/>
          <w:color w:val="000000" w:themeColor="text1"/>
          <w:szCs w:val="24"/>
          <w:highlight w:val="none"/>
          <w:u w:val="single"/>
          <w:lang w:bidi="ar"/>
          <w14:textFill>
            <w14:solidFill>
              <w14:schemeClr w14:val="tx1"/>
            </w14:solidFill>
          </w14:textFill>
        </w:rPr>
        <w:t xml:space="preserve">            </w:t>
      </w:r>
    </w:p>
    <w:p w14:paraId="6E7A42F1">
      <w:pPr>
        <w:spacing w:line="360" w:lineRule="auto"/>
        <w:ind w:firstLine="480" w:firstLineChars="200"/>
        <w:rPr>
          <w:rFonts w:hAnsi="宋体"/>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1.2</w:t>
      </w:r>
      <w:r>
        <w:rPr>
          <w:rFonts w:hint="eastAsia" w:ascii="宋体" w:hAnsi="宋体" w:cs="宋体"/>
          <w:color w:val="000000" w:themeColor="text1"/>
          <w:szCs w:val="24"/>
          <w:highlight w:val="none"/>
          <w:lang w:bidi="ar"/>
          <w14:textFill>
            <w14:solidFill>
              <w14:schemeClr w14:val="tx1"/>
            </w14:solidFill>
          </w14:textFill>
        </w:rPr>
        <w:t>、项目地点：</w:t>
      </w:r>
      <w:r>
        <w:rPr>
          <w:rFonts w:ascii="Calibri" w:hAnsi="宋体"/>
          <w:color w:val="000000" w:themeColor="text1"/>
          <w:szCs w:val="24"/>
          <w:highlight w:val="none"/>
          <w:u w:val="single"/>
          <w:lang w:bidi="ar"/>
          <w14:textFill>
            <w14:solidFill>
              <w14:schemeClr w14:val="tx1"/>
            </w14:solidFill>
          </w14:textFill>
        </w:rPr>
        <w:t xml:space="preserve">            </w:t>
      </w:r>
    </w:p>
    <w:p w14:paraId="0B847A56">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二、合同工期</w:t>
      </w:r>
    </w:p>
    <w:p w14:paraId="5FEB630A">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开工日期：</w:t>
      </w:r>
      <w:r>
        <w:rPr>
          <w:rFonts w:ascii="Calibri" w:hAnsi="宋体"/>
          <w:color w:val="000000" w:themeColor="text1"/>
          <w:szCs w:val="24"/>
          <w:highlight w:val="none"/>
          <w:u w:val="single"/>
          <w:lang w:bidi="ar"/>
          <w14:textFill>
            <w14:solidFill>
              <w14:schemeClr w14:val="tx1"/>
            </w14:solidFill>
          </w14:textFill>
        </w:rPr>
        <w:t xml:space="preserve">                                </w:t>
      </w:r>
    </w:p>
    <w:p w14:paraId="28655A88">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竣工日期：</w:t>
      </w:r>
      <w:r>
        <w:rPr>
          <w:rFonts w:ascii="Calibri" w:hAnsi="宋体"/>
          <w:color w:val="000000" w:themeColor="text1"/>
          <w:szCs w:val="24"/>
          <w:highlight w:val="none"/>
          <w:u w:val="single"/>
          <w:lang w:bidi="ar"/>
          <w14:textFill>
            <w14:solidFill>
              <w14:schemeClr w14:val="tx1"/>
            </w14:solidFill>
          </w14:textFill>
        </w:rPr>
        <w:t xml:space="preserve">                                </w:t>
      </w:r>
    </w:p>
    <w:p w14:paraId="286712DF">
      <w:pPr>
        <w:spacing w:line="360" w:lineRule="auto"/>
        <w:ind w:firstLine="480" w:firstLineChars="200"/>
        <w:rPr>
          <w:rFonts w:hint="default" w:eastAsia="宋体"/>
          <w:color w:val="000000" w:themeColor="text1"/>
          <w:szCs w:val="24"/>
          <w:highlight w:val="none"/>
          <w:u w:val="single"/>
          <w:lang w:val="en-US" w:eastAsia="zh-CN"/>
          <w14:textFill>
            <w14:solidFill>
              <w14:schemeClr w14:val="tx1"/>
            </w14:solidFill>
          </w14:textFill>
        </w:rPr>
      </w:pPr>
      <w:r>
        <w:rPr>
          <w:rFonts w:hint="eastAsia" w:ascii="宋体" w:hAnsi="宋体" w:cs="宋体"/>
          <w:color w:val="000000" w:themeColor="text1"/>
          <w:szCs w:val="24"/>
          <w:highlight w:val="none"/>
          <w:lang w:val="en-US" w:eastAsia="zh-CN" w:bidi="ar"/>
          <w14:textFill>
            <w14:solidFill>
              <w14:schemeClr w14:val="tx1"/>
            </w14:solidFill>
          </w14:textFill>
        </w:rPr>
        <w:t>合同履行期限</w:t>
      </w:r>
      <w:r>
        <w:rPr>
          <w:rFonts w:hint="eastAsia" w:ascii="宋体" w:hAnsi="宋体" w:cs="宋体"/>
          <w:color w:val="000000" w:themeColor="text1"/>
          <w:szCs w:val="24"/>
          <w:highlight w:val="none"/>
          <w:lang w:bidi="ar"/>
          <w14:textFill>
            <w14:solidFill>
              <w14:schemeClr w14:val="tx1"/>
            </w14:solidFill>
          </w14:textFill>
        </w:rPr>
        <w:t>：</w:t>
      </w:r>
      <w:r>
        <w:rPr>
          <w:rFonts w:ascii="Calibri" w:hAnsi="宋体"/>
          <w:color w:val="000000" w:themeColor="text1"/>
          <w:szCs w:val="24"/>
          <w:highlight w:val="none"/>
          <w:u w:val="single"/>
          <w:lang w:bidi="ar"/>
          <w14:textFill>
            <w14:solidFill>
              <w14:schemeClr w14:val="tx1"/>
            </w14:solidFill>
          </w14:textFill>
        </w:rPr>
        <w:t xml:space="preserve">   </w:t>
      </w:r>
      <w:r>
        <w:rPr>
          <w:rFonts w:hint="eastAsia" w:ascii="Calibri" w:hAnsi="宋体"/>
          <w:color w:val="000000" w:themeColor="text1"/>
          <w:szCs w:val="24"/>
          <w:highlight w:val="none"/>
          <w:u w:val="single"/>
          <w:lang w:val="en-US" w:eastAsia="zh-CN" w:bidi="ar"/>
          <w14:textFill>
            <w14:solidFill>
              <w14:schemeClr w14:val="tx1"/>
            </w14:solidFill>
          </w14:textFill>
        </w:rPr>
        <w:t xml:space="preserve">                      </w:t>
      </w:r>
      <w:r>
        <w:rPr>
          <w:rFonts w:ascii="Calibri" w:hAnsi="宋体"/>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val="en-US" w:eastAsia="zh-CN" w:bidi="ar"/>
          <w14:textFill>
            <w14:solidFill>
              <w14:schemeClr w14:val="tx1"/>
            </w14:solidFill>
          </w14:textFill>
        </w:rPr>
        <w:t xml:space="preserve">  </w:t>
      </w:r>
    </w:p>
    <w:p w14:paraId="4CEE0704">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三、工程内容及范围</w:t>
      </w:r>
    </w:p>
    <w:p w14:paraId="4C64DA68">
      <w:pPr>
        <w:spacing w:line="360" w:lineRule="auto"/>
        <w:ind w:firstLine="480" w:firstLineChars="200"/>
        <w:rPr>
          <w:color w:val="000000" w:themeColor="text1"/>
          <w:szCs w:val="24"/>
          <w:highlight w:val="none"/>
          <w:u w:val="singl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3.1</w:t>
      </w:r>
      <w:r>
        <w:rPr>
          <w:rFonts w:hint="eastAsia" w:ascii="宋体" w:hAnsi="宋体" w:cs="宋体"/>
          <w:color w:val="000000" w:themeColor="text1"/>
          <w:szCs w:val="24"/>
          <w:highlight w:val="none"/>
          <w:lang w:bidi="ar"/>
          <w14:textFill>
            <w14:solidFill>
              <w14:schemeClr w14:val="tx1"/>
            </w14:solidFill>
          </w14:textFill>
        </w:rPr>
        <w:t>、工程内容：</w:t>
      </w:r>
      <w:r>
        <w:rPr>
          <w:rFonts w:ascii="Calibri" w:hAnsi="Calibri"/>
          <w:color w:val="000000" w:themeColor="text1"/>
          <w:szCs w:val="24"/>
          <w:highlight w:val="none"/>
          <w:u w:val="single"/>
          <w:lang w:bidi="ar"/>
          <w14:textFill>
            <w14:solidFill>
              <w14:schemeClr w14:val="tx1"/>
            </w14:solidFill>
          </w14:textFill>
        </w:rPr>
        <w:t xml:space="preserve">             </w:t>
      </w:r>
    </w:p>
    <w:p w14:paraId="021FE1E9">
      <w:pPr>
        <w:spacing w:line="360" w:lineRule="auto"/>
        <w:ind w:firstLine="480" w:firstLineChars="200"/>
        <w:rPr>
          <w:color w:val="000000" w:themeColor="text1"/>
          <w:szCs w:val="24"/>
          <w:highlight w:val="none"/>
          <w:u w:val="singl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3.2</w:t>
      </w:r>
      <w:r>
        <w:rPr>
          <w:rFonts w:hint="eastAsia" w:ascii="宋体" w:hAnsi="宋体" w:cs="宋体"/>
          <w:color w:val="000000" w:themeColor="text1"/>
          <w:szCs w:val="24"/>
          <w:highlight w:val="none"/>
          <w:lang w:bidi="ar"/>
          <w14:textFill>
            <w14:solidFill>
              <w14:schemeClr w14:val="tx1"/>
            </w14:solidFill>
          </w14:textFill>
        </w:rPr>
        <w:t>、工程范围：</w:t>
      </w:r>
      <w:r>
        <w:rPr>
          <w:rFonts w:ascii="Calibri" w:hAnsi="Calibri"/>
          <w:color w:val="000000" w:themeColor="text1"/>
          <w:szCs w:val="24"/>
          <w:highlight w:val="none"/>
          <w:u w:val="single"/>
          <w:lang w:bidi="ar"/>
          <w14:textFill>
            <w14:solidFill>
              <w14:schemeClr w14:val="tx1"/>
            </w14:solidFill>
          </w14:textFill>
        </w:rPr>
        <w:t xml:space="preserve">             </w:t>
      </w:r>
    </w:p>
    <w:p w14:paraId="09A939F0">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四、质量标准</w:t>
      </w:r>
    </w:p>
    <w:p w14:paraId="6B12A178">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严格按照国家颁发的施工技术验收规范进行施工，质量应达到国家质量检验评定的合格标准。符合国家、省、市及甲方相关规范、标准和规定。</w:t>
      </w:r>
    </w:p>
    <w:p w14:paraId="1748946B">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五、合同价款</w:t>
      </w:r>
    </w:p>
    <w:p w14:paraId="44A0DDB6">
      <w:pPr>
        <w:spacing w:line="360" w:lineRule="auto"/>
        <w:ind w:firstLine="480" w:firstLineChars="200"/>
        <w:rPr>
          <w:rFonts w:hint="eastAsia" w:ascii="宋体" w:hAnsi="宋体" w:cs="宋体"/>
          <w:color w:val="000000" w:themeColor="text1"/>
          <w:szCs w:val="24"/>
          <w:highlight w:val="none"/>
          <w:lang w:bidi="ar"/>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5.1</w:t>
      </w:r>
      <w:r>
        <w:rPr>
          <w:rFonts w:hint="eastAsia" w:ascii="宋体" w:hAnsi="宋体" w:cs="宋体"/>
          <w:color w:val="000000" w:themeColor="text1"/>
          <w:szCs w:val="24"/>
          <w:highlight w:val="none"/>
          <w:lang w:bidi="ar"/>
          <w14:textFill>
            <w14:solidFill>
              <w14:schemeClr w14:val="tx1"/>
            </w14:solidFill>
          </w14:textFill>
        </w:rPr>
        <w:t>、合同</w:t>
      </w:r>
      <w:r>
        <w:rPr>
          <w:rFonts w:hint="eastAsia" w:ascii="宋体" w:hAnsi="宋体" w:cs="宋体"/>
          <w:color w:val="000000" w:themeColor="text1"/>
          <w:szCs w:val="24"/>
          <w:highlight w:val="none"/>
          <w:lang w:eastAsia="zh-CN" w:bidi="ar"/>
          <w14:textFill>
            <w14:solidFill>
              <w14:schemeClr w14:val="tx1"/>
            </w14:solidFill>
          </w14:textFill>
        </w:rPr>
        <w:t>金额</w:t>
      </w:r>
      <w:r>
        <w:rPr>
          <w:rFonts w:hint="eastAsia" w:ascii="宋体" w:hAnsi="宋体" w:cs="宋体"/>
          <w:color w:val="000000" w:themeColor="text1"/>
          <w:szCs w:val="24"/>
          <w:highlight w:val="none"/>
          <w:lang w:bidi="ar"/>
          <w14:textFill>
            <w14:solidFill>
              <w14:schemeClr w14:val="tx1"/>
            </w14:solidFill>
          </w14:textFill>
        </w:rPr>
        <w:t>（大写）</w:t>
      </w:r>
      <w:r>
        <w:rPr>
          <w:rFonts w:hint="eastAsia" w:ascii="宋体" w:hAnsi="宋体" w:cs="宋体"/>
          <w:color w:val="000000" w:themeColor="text1"/>
          <w:szCs w:val="24"/>
          <w:highlight w:val="none"/>
          <w:lang w:eastAsia="zh-CN" w:bidi="ar"/>
          <w14:textFill>
            <w14:solidFill>
              <w14:schemeClr w14:val="tx1"/>
            </w14:solidFill>
          </w14:textFill>
        </w:rPr>
        <w:t>：人民币</w:t>
      </w:r>
      <w:r>
        <w:rPr>
          <w:rFonts w:ascii="Calibri" w:hAnsi="Calibri"/>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元</w:t>
      </w:r>
      <w:r>
        <w:rPr>
          <w:rFonts w:ascii="Calibri" w:hAnsi="Calibri"/>
          <w:color w:val="000000" w:themeColor="text1"/>
          <w:szCs w:val="24"/>
          <w:highlight w:val="non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小写</w:t>
      </w:r>
      <w:r>
        <w:rPr>
          <w:rFonts w:ascii="Calibri" w:hAnsi="Calibri" w:cs="Calibri"/>
          <w:color w:val="000000" w:themeColor="text1"/>
          <w:szCs w:val="24"/>
          <w:highlight w:val="none"/>
          <w:lang w:bidi="ar"/>
          <w14:textFill>
            <w14:solidFill>
              <w14:schemeClr w14:val="tx1"/>
            </w14:solidFill>
          </w14:textFill>
        </w:rPr>
        <w:t>)</w:t>
      </w:r>
      <w:r>
        <w:rPr>
          <w:rFonts w:hint="eastAsia" w:ascii="Calibri" w:hAnsi="Calibri" w:cs="Calibri"/>
          <w:color w:val="000000" w:themeColor="text1"/>
          <w:szCs w:val="24"/>
          <w:highlight w:val="none"/>
          <w:lang w:eastAsia="zh-CN"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w:t>
      </w:r>
      <w:r>
        <w:rPr>
          <w:rFonts w:ascii="Calibri" w:hAnsi="Calibri"/>
          <w:color w:val="000000" w:themeColor="text1"/>
          <w:szCs w:val="24"/>
          <w:highlight w:val="none"/>
          <w:u w:val="single"/>
          <w:lang w:bidi="ar"/>
          <w14:textFill>
            <w14:solidFill>
              <w14:schemeClr w14:val="tx1"/>
            </w14:solidFill>
          </w14:textFill>
        </w:rPr>
        <w:t xml:space="preserve">        </w:t>
      </w:r>
      <w:r>
        <w:rPr>
          <w:rFonts w:ascii="Calibri" w:hAnsi="Calibri"/>
          <w:color w:val="000000" w:themeColor="text1"/>
          <w:szCs w:val="24"/>
          <w:highlight w:val="non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元</w:t>
      </w:r>
    </w:p>
    <w:p w14:paraId="71F54A73">
      <w:pPr>
        <w:spacing w:line="360" w:lineRule="auto"/>
        <w:ind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5.2</w:t>
      </w:r>
      <w:r>
        <w:rPr>
          <w:rFonts w:hint="eastAsia" w:ascii="宋体" w:hAnsi="宋体" w:cs="宋体"/>
          <w:color w:val="000000" w:themeColor="text1"/>
          <w:szCs w:val="24"/>
          <w:highlight w:val="none"/>
          <w:lang w:bidi="ar"/>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本合同价款</w:t>
      </w:r>
      <w:r>
        <w:rPr>
          <w:rFonts w:hint="eastAsia" w:ascii="宋体" w:hAnsi="宋体" w:eastAsia="宋体" w:cs="宋体"/>
          <w:b/>
          <w:bCs w:val="0"/>
          <w:color w:val="000000" w:themeColor="text1"/>
          <w:sz w:val="24"/>
          <w:szCs w:val="24"/>
          <w:highlight w:val="none"/>
          <w14:textFill>
            <w14:solidFill>
              <w14:schemeClr w14:val="tx1"/>
            </w14:solidFill>
          </w14:textFill>
        </w:rPr>
        <w:t>采用</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固定综合单价</w:t>
      </w:r>
      <w:r>
        <w:rPr>
          <w:rFonts w:hint="eastAsia" w:ascii="宋体" w:hAnsi="宋体" w:eastAsia="宋体" w:cs="宋体"/>
          <w:b/>
          <w:bCs w:val="0"/>
          <w:color w:val="000000" w:themeColor="text1"/>
          <w:sz w:val="24"/>
          <w:szCs w:val="24"/>
          <w:highlight w:val="none"/>
          <w14:textFill>
            <w14:solidFill>
              <w14:schemeClr w14:val="tx1"/>
            </w14:solidFill>
          </w14:textFill>
        </w:rPr>
        <w:t>合同</w:t>
      </w:r>
      <w:r>
        <w:rPr>
          <w:rFonts w:hint="eastAsia" w:ascii="宋体" w:hAnsi="宋体" w:eastAsia="宋体" w:cs="宋体"/>
          <w:bCs/>
          <w:color w:val="000000" w:themeColor="text1"/>
          <w:sz w:val="24"/>
          <w:szCs w:val="24"/>
          <w:highlight w:val="none"/>
          <w14:textFill>
            <w14:solidFill>
              <w14:schemeClr w14:val="tx1"/>
            </w14:solidFill>
          </w14:textFill>
        </w:rPr>
        <w:t>方式确定</w:t>
      </w:r>
      <w:r>
        <w:rPr>
          <w:rFonts w:hint="eastAsia" w:ascii="宋体" w:hAnsi="宋体" w:eastAsia="宋体" w:cs="宋体"/>
          <w:bCs/>
          <w:color w:val="000000" w:themeColor="text1"/>
          <w:sz w:val="24"/>
          <w:szCs w:val="24"/>
          <w:highlight w:val="none"/>
          <w:lang w:eastAsia="zh-CN"/>
          <w14:textFill>
            <w14:solidFill>
              <w14:schemeClr w14:val="tx1"/>
            </w14:solidFill>
          </w14:textFill>
        </w:rPr>
        <w:t>。</w:t>
      </w:r>
    </w:p>
    <w:p w14:paraId="6F6F04F0">
      <w:pPr>
        <w:pageBreakBefore w:val="0"/>
        <w:kinsoku/>
        <w:topLinePunct w:val="0"/>
        <w:bidi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Calibri" w:hAnsi="Calibri" w:eastAsia="宋体"/>
          <w:color w:val="000000" w:themeColor="text1"/>
          <w:szCs w:val="24"/>
          <w:highlight w:val="none"/>
          <w:lang w:val="en-US" w:eastAsia="zh-CN" w:bidi="ar"/>
          <w14:textFill>
            <w14:solidFill>
              <w14:schemeClr w14:val="tx1"/>
            </w14:solidFill>
          </w14:textFill>
        </w:rPr>
        <w:t>5.3</w:t>
      </w:r>
      <w:r>
        <w:rPr>
          <w:rFonts w:hint="eastAsia" w:ascii="Calibri" w:hAnsi="Calibri" w:eastAsia="宋体"/>
          <w:color w:val="000000" w:themeColor="text1"/>
          <w:szCs w:val="24"/>
          <w:highlight w:val="none"/>
          <w:lang w:bidi="ar"/>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付款方式</w:t>
      </w:r>
      <w:r>
        <w:rPr>
          <w:rFonts w:hint="eastAsia" w:ascii="宋体" w:hAnsi="宋体" w:eastAsia="宋体" w:cs="宋体"/>
          <w:bCs/>
          <w:color w:val="000000" w:themeColor="text1"/>
          <w:sz w:val="24"/>
          <w:szCs w:val="24"/>
          <w:highlight w:val="none"/>
          <w:lang w:eastAsia="zh-CN"/>
          <w14:textFill>
            <w14:solidFill>
              <w14:schemeClr w14:val="tx1"/>
            </w14:solidFill>
          </w14:textFill>
        </w:rPr>
        <w:t>：①合同签订后甲方向乙方支付预付款 ，达到付款条件起15 日内，支付合同总金额的30.00%。合同签订后至竣工验收合格之日，达到付款条件起30日内，支付合同总金额的70.00%（根据项目进度付款）。②合同签订后，乙方应立即向甲方指定账户缴纳合同金额3%作为工程质量保证金；</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③</w:t>
      </w:r>
      <w:r>
        <w:rPr>
          <w:rFonts w:hint="eastAsia" w:ascii="宋体" w:hAnsi="宋体" w:eastAsia="宋体" w:cs="宋体"/>
          <w:bCs/>
          <w:color w:val="000000" w:themeColor="text1"/>
          <w:sz w:val="24"/>
          <w:szCs w:val="24"/>
          <w:highlight w:val="none"/>
          <w:lang w:eastAsia="zh-CN"/>
          <w14:textFill>
            <w14:solidFill>
              <w14:schemeClr w14:val="tx1"/>
            </w14:solidFill>
          </w14:textFill>
        </w:rPr>
        <w:t>在质保期结束后无质量问题，甲方将质保金原路退回。</w:t>
      </w:r>
    </w:p>
    <w:p w14:paraId="7908E01F">
      <w:pPr>
        <w:pageBreakBefore w:val="0"/>
        <w:kinsoku/>
        <w:topLinePunct w:val="0"/>
        <w:bidi w:val="0"/>
        <w:spacing w:line="360" w:lineRule="auto"/>
        <w:ind w:firstLine="480" w:firstLineChars="200"/>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5.4</w:t>
      </w:r>
      <w:r>
        <w:rPr>
          <w:rFonts w:hint="eastAsia" w:ascii="宋体" w:hAnsi="宋体" w:eastAsia="宋体" w:cs="宋体"/>
          <w:bCs/>
          <w:color w:val="000000" w:themeColor="text1"/>
          <w:sz w:val="24"/>
          <w:szCs w:val="24"/>
          <w:highlight w:val="none"/>
          <w:lang w:eastAsia="zh-CN"/>
          <w14:textFill>
            <w14:solidFill>
              <w14:schemeClr w14:val="tx1"/>
            </w14:solidFill>
          </w14:textFill>
        </w:rPr>
        <w:t>、付款依据：</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竞争性磋商文件</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响应</w:t>
      </w:r>
      <w:r>
        <w:rPr>
          <w:rFonts w:hint="eastAsia" w:ascii="宋体" w:hAnsi="宋体" w:eastAsia="宋体" w:cs="宋体"/>
          <w:bCs/>
          <w:color w:val="000000" w:themeColor="text1"/>
          <w:sz w:val="24"/>
          <w:szCs w:val="24"/>
          <w:highlight w:val="none"/>
          <w:lang w:eastAsia="zh-CN"/>
          <w14:textFill>
            <w14:solidFill>
              <w14:schemeClr w14:val="tx1"/>
            </w14:solidFill>
          </w14:textFill>
        </w:rPr>
        <w:t>文件、采购人出具的验收报告、发票。</w:t>
      </w:r>
    </w:p>
    <w:p w14:paraId="6005710D">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六、工程结算</w:t>
      </w:r>
    </w:p>
    <w:p w14:paraId="319B6DCF">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6.1</w:t>
      </w:r>
      <w:r>
        <w:rPr>
          <w:rFonts w:hint="eastAsia" w:ascii="宋体" w:hAnsi="宋体" w:cs="宋体"/>
          <w:color w:val="000000" w:themeColor="text1"/>
          <w:szCs w:val="24"/>
          <w:highlight w:val="none"/>
          <w:lang w:bidi="ar"/>
          <w14:textFill>
            <w14:solidFill>
              <w14:schemeClr w14:val="tx1"/>
            </w14:solidFill>
          </w14:textFill>
        </w:rPr>
        <w:t>、以施工合同、竣工图纸、设计变更、现场签证、洽商文件、甲方认质认价单及乙方投标承诺、</w:t>
      </w:r>
      <w:r>
        <w:rPr>
          <w:rFonts w:hint="eastAsia" w:ascii="宋体" w:hAnsi="宋体" w:cs="宋体"/>
          <w:color w:val="000000" w:themeColor="text1"/>
          <w:szCs w:val="24"/>
          <w:highlight w:val="none"/>
          <w:lang w:val="en-US" w:eastAsia="zh-CN" w:bidi="ar"/>
          <w14:textFill>
            <w14:solidFill>
              <w14:schemeClr w14:val="tx1"/>
            </w14:solidFill>
          </w14:textFill>
        </w:rPr>
        <w:t>竞争性磋商</w:t>
      </w:r>
      <w:r>
        <w:rPr>
          <w:rFonts w:hint="eastAsia" w:ascii="宋体" w:hAnsi="宋体" w:cs="宋体"/>
          <w:color w:val="000000" w:themeColor="text1"/>
          <w:szCs w:val="24"/>
          <w:highlight w:val="none"/>
          <w:lang w:bidi="ar"/>
          <w14:textFill>
            <w14:solidFill>
              <w14:schemeClr w14:val="tx1"/>
            </w14:solidFill>
          </w14:textFill>
        </w:rPr>
        <w:t>文件、答疑纪要、经修订的工程量清单、</w:t>
      </w:r>
      <w:r>
        <w:rPr>
          <w:rFonts w:hint="eastAsia" w:ascii="宋体" w:hAnsi="宋体" w:cs="宋体"/>
          <w:color w:val="000000" w:themeColor="text1"/>
          <w:szCs w:val="24"/>
          <w:highlight w:val="none"/>
          <w:lang w:val="en-US" w:eastAsia="zh-CN" w:bidi="ar"/>
          <w14:textFill>
            <w14:solidFill>
              <w14:schemeClr w14:val="tx1"/>
            </w14:solidFill>
          </w14:textFill>
        </w:rPr>
        <w:t>响应</w:t>
      </w:r>
      <w:r>
        <w:rPr>
          <w:rFonts w:hint="eastAsia" w:ascii="宋体" w:hAnsi="宋体" w:cs="宋体"/>
          <w:color w:val="000000" w:themeColor="text1"/>
          <w:szCs w:val="24"/>
          <w:highlight w:val="none"/>
          <w:lang w:bidi="ar"/>
          <w14:textFill>
            <w14:solidFill>
              <w14:schemeClr w14:val="tx1"/>
            </w14:solidFill>
          </w14:textFill>
        </w:rPr>
        <w:t>文件以及相关法律、法规和文件等为依据进行结算，认质认价材料的差价在工程结算时除规费和税金外不计取其他任何费用，其他项目清单中属于招标人部分的暂列金额、专业工程暂估价结算时按实调整。</w:t>
      </w:r>
    </w:p>
    <w:p w14:paraId="24A6C74E">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6.2</w:t>
      </w:r>
      <w:r>
        <w:rPr>
          <w:rFonts w:hint="eastAsia" w:ascii="宋体" w:hAnsi="宋体" w:cs="宋体"/>
          <w:color w:val="000000" w:themeColor="text1"/>
          <w:szCs w:val="24"/>
          <w:highlight w:val="none"/>
          <w:lang w:bidi="ar"/>
          <w14:textFill>
            <w14:solidFill>
              <w14:schemeClr w14:val="tx1"/>
            </w14:solidFill>
          </w14:textFill>
        </w:rPr>
        <w:t>、在本工程施工过程中，若发生设计变更及签证，按下列规定执行：</w:t>
      </w:r>
    </w:p>
    <w:p w14:paraId="48B28F19">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①合同中已有适用于变更工程的综合单价或价格</w:t>
      </w:r>
      <w:r>
        <w:rPr>
          <w:rFonts w:hint="eastAsia" w:ascii="宋体" w:hAnsi="宋体" w:cs="宋体"/>
          <w:color w:val="000000" w:themeColor="text1"/>
          <w:szCs w:val="24"/>
          <w:highlight w:val="none"/>
          <w:lang w:bidi="ar"/>
          <w14:textFill>
            <w14:solidFill>
              <w14:schemeClr w14:val="tx1"/>
            </w14:solidFill>
          </w14:textFill>
        </w:rPr>
        <w:t>，按合同已有的综合单价或价格变更合同价款；</w:t>
      </w:r>
    </w:p>
    <w:p w14:paraId="37546655">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②合同中只有类似于变更工程的综合单价或价格</w:t>
      </w:r>
      <w:r>
        <w:rPr>
          <w:rFonts w:hint="eastAsia" w:ascii="宋体" w:hAnsi="宋体" w:cs="宋体"/>
          <w:color w:val="000000" w:themeColor="text1"/>
          <w:szCs w:val="24"/>
          <w:highlight w:val="none"/>
          <w:lang w:bidi="ar"/>
          <w14:textFill>
            <w14:solidFill>
              <w14:schemeClr w14:val="tx1"/>
            </w14:solidFill>
          </w14:textFill>
        </w:rPr>
        <w:t>，可以参照类似综合单价或价格变更合同价款；</w:t>
      </w:r>
    </w:p>
    <w:p w14:paraId="7EFDA56D">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③合同中没有适用或类似于变更工程的综合单价或价格</w:t>
      </w:r>
      <w:r>
        <w:rPr>
          <w:rFonts w:hint="eastAsia" w:ascii="宋体" w:hAnsi="宋体" w:cs="宋体"/>
          <w:color w:val="000000" w:themeColor="text1"/>
          <w:szCs w:val="24"/>
          <w:highlight w:val="none"/>
          <w:lang w:bidi="ar"/>
          <w14:textFill>
            <w14:solidFill>
              <w14:schemeClr w14:val="tx1"/>
            </w14:solidFill>
          </w14:textFill>
        </w:rPr>
        <w:t>，由乙方或甲方依据其配套文件中工程量计算办法以及乙方投标时所报材料价格</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投标所报材料价格中没有的，按甲方认质认价办法进行材料认价</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按最高限价编制模式组价，综合单价经双方确认后按中标价与最高限价的优惠比率下浮后执行</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下浮不含发包人认价材料）。</w:t>
      </w:r>
    </w:p>
    <w:p w14:paraId="3B5D522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6.3</w:t>
      </w:r>
      <w:r>
        <w:rPr>
          <w:rFonts w:hint="eastAsia" w:ascii="宋体" w:hAnsi="宋体" w:cs="宋体"/>
          <w:color w:val="000000" w:themeColor="text1"/>
          <w:szCs w:val="24"/>
          <w:highlight w:val="none"/>
          <w:lang w:bidi="ar"/>
          <w14:textFill>
            <w14:solidFill>
              <w14:schemeClr w14:val="tx1"/>
            </w14:solidFill>
          </w14:textFill>
        </w:rPr>
        <w:t>、同一种材料单价出现二种以上单价时，以最低者为准进行工程结算。</w:t>
      </w:r>
    </w:p>
    <w:p w14:paraId="7B1A7E58">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6.4</w:t>
      </w:r>
      <w:r>
        <w:rPr>
          <w:rFonts w:hint="eastAsia" w:ascii="宋体" w:hAnsi="宋体" w:cs="宋体"/>
          <w:color w:val="000000" w:themeColor="text1"/>
          <w:szCs w:val="24"/>
          <w:highlight w:val="none"/>
          <w:lang w:bidi="ar"/>
          <w14:textFill>
            <w14:solidFill>
              <w14:schemeClr w14:val="tx1"/>
            </w14:solidFill>
          </w14:textFill>
        </w:rPr>
        <w:t>、在施工过程中如遇国家法律法规或政策性调整，双方应依照执行。</w:t>
      </w:r>
    </w:p>
    <w:p w14:paraId="167AA4EF">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6.5</w:t>
      </w:r>
      <w:r>
        <w:rPr>
          <w:rFonts w:hint="eastAsia" w:ascii="宋体" w:hAnsi="宋体" w:cs="宋体"/>
          <w:color w:val="000000" w:themeColor="text1"/>
          <w:szCs w:val="24"/>
          <w:highlight w:val="none"/>
          <w:lang w:bidi="ar"/>
          <w14:textFill>
            <w14:solidFill>
              <w14:schemeClr w14:val="tx1"/>
            </w14:solidFill>
          </w14:textFill>
        </w:rPr>
        <w:t>、乙方应严格按照</w:t>
      </w:r>
      <w:r>
        <w:rPr>
          <w:rFonts w:hint="eastAsia" w:ascii="宋体" w:hAnsi="宋体" w:cs="宋体"/>
          <w:color w:val="000000" w:themeColor="text1"/>
          <w:szCs w:val="24"/>
          <w:highlight w:val="none"/>
          <w:lang w:eastAsia="zh-CN" w:bidi="ar"/>
          <w14:textFill>
            <w14:solidFill>
              <w14:schemeClr w14:val="tx1"/>
            </w14:solidFill>
          </w14:textFill>
        </w:rPr>
        <w:t>竞争性磋商文件</w:t>
      </w:r>
      <w:r>
        <w:rPr>
          <w:rFonts w:hint="eastAsia" w:ascii="宋体" w:hAnsi="宋体" w:cs="宋体"/>
          <w:color w:val="000000" w:themeColor="text1"/>
          <w:szCs w:val="24"/>
          <w:highlight w:val="none"/>
          <w:lang w:bidi="ar"/>
          <w14:textFill>
            <w14:solidFill>
              <w14:schemeClr w14:val="tx1"/>
            </w14:solidFill>
          </w14:textFill>
        </w:rPr>
        <w:t>、本合同确定的计算方法编制竣工结算，不得高估冒报。</w:t>
      </w:r>
    </w:p>
    <w:p w14:paraId="1442DC4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6.6</w:t>
      </w:r>
      <w:r>
        <w:rPr>
          <w:rFonts w:hint="eastAsia" w:ascii="宋体" w:hAnsi="宋体" w:cs="宋体"/>
          <w:color w:val="000000" w:themeColor="text1"/>
          <w:szCs w:val="24"/>
          <w:highlight w:val="none"/>
          <w:lang w:bidi="ar"/>
          <w14:textFill>
            <w14:solidFill>
              <w14:schemeClr w14:val="tx1"/>
            </w14:solidFill>
          </w14:textFill>
        </w:rPr>
        <w:t>、乙方应遵守甲方制定的有关制度及规定及财政投资项目管理办法、材料设备价格管理及评审实施意见等文件的规定。</w:t>
      </w:r>
    </w:p>
    <w:p w14:paraId="040DB152">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七、材料、设备供应要求</w:t>
      </w:r>
    </w:p>
    <w:p w14:paraId="48D50AC3">
      <w:pPr>
        <w:spacing w:line="360" w:lineRule="auto"/>
        <w:ind w:firstLine="480" w:firstLineChars="200"/>
        <w:rPr>
          <w:rFonts w:hint="eastAsia" w:eastAsia="宋体"/>
          <w:color w:val="000000" w:themeColor="text1"/>
          <w:szCs w:val="24"/>
          <w:highlight w:val="none"/>
          <w:lang w:eastAsia="zh-CN"/>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7.1</w:t>
      </w:r>
      <w:r>
        <w:rPr>
          <w:rFonts w:hint="eastAsia" w:ascii="宋体" w:hAnsi="宋体" w:cs="宋体"/>
          <w:color w:val="000000" w:themeColor="text1"/>
          <w:szCs w:val="24"/>
          <w:highlight w:val="none"/>
          <w:lang w:bidi="ar"/>
          <w14:textFill>
            <w14:solidFill>
              <w14:schemeClr w14:val="tx1"/>
            </w14:solidFill>
          </w14:textFill>
        </w:rPr>
        <w:t>、乙方负责采购、供应的材料、设备应是合格产品，符合设计及国家规范要求</w:t>
      </w:r>
      <w:r>
        <w:rPr>
          <w:rFonts w:hint="eastAsia" w:ascii="宋体" w:hAnsi="宋体" w:cs="宋体"/>
          <w:color w:val="000000" w:themeColor="text1"/>
          <w:szCs w:val="24"/>
          <w:highlight w:val="none"/>
          <w:lang w:eastAsia="zh-CN" w:bidi="ar"/>
          <w14:textFill>
            <w14:solidFill>
              <w14:schemeClr w14:val="tx1"/>
            </w14:solidFill>
          </w14:textFill>
        </w:rPr>
        <w:t>；</w:t>
      </w:r>
    </w:p>
    <w:p w14:paraId="387AB0CE">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7.2</w:t>
      </w:r>
      <w:r>
        <w:rPr>
          <w:rFonts w:hint="eastAsia" w:ascii="宋体" w:hAnsi="宋体" w:cs="宋体"/>
          <w:color w:val="000000" w:themeColor="text1"/>
          <w:szCs w:val="24"/>
          <w:highlight w:val="none"/>
          <w:lang w:bidi="ar"/>
          <w14:textFill>
            <w14:solidFill>
              <w14:schemeClr w14:val="tx1"/>
            </w14:solidFill>
          </w14:textFill>
        </w:rPr>
        <w:t>、工程所需的所有材料、设备均应提前以书面形式报甲方确认方可进场，未经甲方确认的材料、设备视为不合格材料。</w:t>
      </w:r>
    </w:p>
    <w:p w14:paraId="79DF5564">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八、质保期</w:t>
      </w:r>
    </w:p>
    <w:p w14:paraId="7E8FB1C6">
      <w:pPr>
        <w:spacing w:line="360" w:lineRule="auto"/>
        <w:ind w:firstLine="480" w:firstLineChars="200"/>
        <w:rPr>
          <w:rFonts w:hint="eastAsia" w:ascii="宋体" w:hAnsi="宋体" w:cs="宋体"/>
          <w:color w:val="000000" w:themeColor="text1"/>
          <w:szCs w:val="24"/>
          <w:highlight w:val="none"/>
          <w:lang w:val="en-US" w:eastAsia="zh-CN" w:bidi="ar"/>
          <w14:textFill>
            <w14:solidFill>
              <w14:schemeClr w14:val="tx1"/>
            </w14:solidFill>
          </w14:textFill>
        </w:rPr>
      </w:pPr>
      <w:r>
        <w:rPr>
          <w:rFonts w:hint="eastAsia" w:ascii="宋体" w:hAnsi="宋体" w:cs="宋体"/>
          <w:color w:val="000000" w:themeColor="text1"/>
          <w:szCs w:val="24"/>
          <w:highlight w:val="none"/>
          <w:lang w:val="en-US" w:eastAsia="zh-CN" w:bidi="ar"/>
          <w14:textFill>
            <w14:solidFill>
              <w14:schemeClr w14:val="tx1"/>
            </w14:solidFill>
          </w14:textFill>
        </w:rPr>
        <w:t>质量保修期按照国家行业标准和要求执行。</w:t>
      </w:r>
    </w:p>
    <w:p w14:paraId="3D6679C5">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九、工程质量与监督及工程验收</w:t>
      </w:r>
    </w:p>
    <w:p w14:paraId="5FAE1B4A">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9.1</w:t>
      </w:r>
      <w:r>
        <w:rPr>
          <w:rFonts w:hint="eastAsia" w:ascii="宋体" w:hAnsi="宋体" w:cs="宋体"/>
          <w:color w:val="000000" w:themeColor="text1"/>
          <w:szCs w:val="24"/>
          <w:highlight w:val="none"/>
          <w:lang w:bidi="ar"/>
          <w14:textFill>
            <w14:solidFill>
              <w14:schemeClr w14:val="tx1"/>
            </w14:solidFill>
          </w14:textFill>
        </w:rPr>
        <w:t>、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w:t>
      </w:r>
    </w:p>
    <w:p w14:paraId="533399FD">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9.2</w:t>
      </w:r>
      <w:r>
        <w:rPr>
          <w:rFonts w:hint="eastAsia" w:ascii="宋体" w:hAnsi="宋体" w:cs="宋体"/>
          <w:color w:val="000000" w:themeColor="text1"/>
          <w:szCs w:val="24"/>
          <w:highlight w:val="none"/>
          <w:lang w:bidi="ar"/>
          <w14:textFill>
            <w14:solidFill>
              <w14:schemeClr w14:val="tx1"/>
            </w14:solidFill>
          </w14:textFill>
        </w:rPr>
        <w:t>、乙方对材料、设备的改变或代用品必须经甲方同意，并发正式书面通知，经甲方代表签证后，方可用于工程；任何一方认为对方提供的材料需要复检的，应允许复检，复检符合要求后，方可用于工程，其复检费由要求复检的一方承担，不符合要求的，其复检费由提供材料、设备一方承担。</w:t>
      </w:r>
    </w:p>
    <w:p w14:paraId="7321F61D">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9.3</w:t>
      </w:r>
      <w:r>
        <w:rPr>
          <w:rFonts w:hint="eastAsia" w:ascii="宋体" w:hAnsi="宋体" w:cs="宋体"/>
          <w:color w:val="000000" w:themeColor="text1"/>
          <w:szCs w:val="24"/>
          <w:highlight w:val="none"/>
          <w:lang w:bidi="ar"/>
          <w14:textFill>
            <w14:solidFill>
              <w14:schemeClr w14:val="tx1"/>
            </w14:solidFill>
          </w14:textFill>
        </w:rPr>
        <w:t>、工程施工完成后，乙方应及时办理验收等一切相关手续。工程经验收合格后移交给甲方。</w:t>
      </w:r>
    </w:p>
    <w:p w14:paraId="43A6C9F8">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十、双方责任义务</w:t>
      </w:r>
    </w:p>
    <w:p w14:paraId="3D337229">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w:t>
      </w:r>
      <w:r>
        <w:rPr>
          <w:rFonts w:hint="eastAsia" w:ascii="宋体" w:hAnsi="宋体" w:cs="宋体"/>
          <w:color w:val="000000" w:themeColor="text1"/>
          <w:szCs w:val="24"/>
          <w:highlight w:val="none"/>
          <w:lang w:bidi="ar"/>
          <w14:textFill>
            <w14:solidFill>
              <w14:schemeClr w14:val="tx1"/>
            </w14:solidFill>
          </w14:textFill>
        </w:rPr>
        <w:t>、甲方权利和义务</w:t>
      </w:r>
    </w:p>
    <w:p w14:paraId="33499F96">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10.1.1</w:t>
      </w:r>
      <w:r>
        <w:rPr>
          <w:rFonts w:hint="eastAsia" w:ascii="宋体" w:hAnsi="宋体" w:cs="宋体"/>
          <w:color w:val="000000" w:themeColor="text1"/>
          <w:szCs w:val="24"/>
          <w:highlight w:val="none"/>
          <w:lang w:bidi="ar"/>
          <w14:textFill>
            <w14:solidFill>
              <w14:schemeClr w14:val="tx1"/>
            </w14:solidFill>
          </w14:textFill>
        </w:rPr>
        <w:t>、负责与工程有关的环境事宜的协调工作</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包括施工现场、进场施工运输道路、与地方政府、与当地居民的关系</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，协助乙方在施工期间不受干扰，使工程能够按期竣工。</w:t>
      </w:r>
    </w:p>
    <w:p w14:paraId="28745B26">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10.1.2</w:t>
      </w:r>
      <w:r>
        <w:rPr>
          <w:rFonts w:hint="eastAsia" w:ascii="宋体" w:hAnsi="宋体" w:cs="宋体"/>
          <w:color w:val="000000" w:themeColor="text1"/>
          <w:szCs w:val="24"/>
          <w:highlight w:val="none"/>
          <w:lang w:bidi="ar"/>
          <w14:textFill>
            <w14:solidFill>
              <w14:schemeClr w14:val="tx1"/>
            </w14:solidFill>
          </w14:textFill>
        </w:rPr>
        <w:t>、对施工进度、质量、安全文明施工进行监督检查，负责现场签证、实际完成工程量进行确认等；</w:t>
      </w:r>
    </w:p>
    <w:p w14:paraId="478ED9B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10.1.3</w:t>
      </w:r>
      <w:r>
        <w:rPr>
          <w:rFonts w:hint="eastAsia" w:ascii="宋体" w:hAnsi="宋体" w:cs="宋体"/>
          <w:color w:val="000000" w:themeColor="text1"/>
          <w:szCs w:val="24"/>
          <w:highlight w:val="none"/>
          <w:lang w:bidi="ar"/>
          <w14:textFill>
            <w14:solidFill>
              <w14:schemeClr w14:val="tx1"/>
            </w14:solidFill>
          </w14:textFill>
        </w:rPr>
        <w:t>、发现乙方管理或施工质量、文明安全、进度或其他方面达不到要求，经提出仍得不到有效改正时，可随时对乙方采取批评、罚款、暂停计量支付、暂停施工直至解除合同等处罚；</w:t>
      </w:r>
    </w:p>
    <w:p w14:paraId="24FFFA89">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10.1.4</w:t>
      </w:r>
      <w:r>
        <w:rPr>
          <w:rFonts w:hint="eastAsia" w:ascii="宋体" w:hAnsi="宋体" w:cs="宋体"/>
          <w:color w:val="000000" w:themeColor="text1"/>
          <w:szCs w:val="24"/>
          <w:highlight w:val="none"/>
          <w:lang w:bidi="ar"/>
          <w14:textFill>
            <w14:solidFill>
              <w14:schemeClr w14:val="tx1"/>
            </w14:solidFill>
          </w14:textFill>
        </w:rPr>
        <w:t>、按时支付工程款。</w:t>
      </w:r>
    </w:p>
    <w:p w14:paraId="03600095">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w:t>
      </w:r>
      <w:r>
        <w:rPr>
          <w:rFonts w:hint="eastAsia" w:ascii="宋体" w:hAnsi="宋体" w:cs="宋体"/>
          <w:color w:val="000000" w:themeColor="text1"/>
          <w:szCs w:val="24"/>
          <w:highlight w:val="none"/>
          <w:lang w:bidi="ar"/>
          <w14:textFill>
            <w14:solidFill>
              <w14:schemeClr w14:val="tx1"/>
            </w14:solidFill>
          </w14:textFill>
        </w:rPr>
        <w:t>、乙方权利和义务</w:t>
      </w:r>
    </w:p>
    <w:p w14:paraId="0781B786">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10.2.1</w:t>
      </w:r>
      <w:r>
        <w:rPr>
          <w:rFonts w:hint="eastAsia" w:ascii="宋体" w:hAnsi="宋体" w:cs="宋体"/>
          <w:color w:val="000000" w:themeColor="text1"/>
          <w:szCs w:val="24"/>
          <w:highlight w:val="none"/>
          <w:lang w:bidi="ar"/>
          <w14:textFill>
            <w14:solidFill>
              <w14:schemeClr w14:val="tx1"/>
            </w14:solidFill>
          </w14:textFill>
        </w:rPr>
        <w:t>、根据甲方委托，严格按照施工图精心施工，保证工程进度和工程质量；</w:t>
      </w:r>
    </w:p>
    <w:p w14:paraId="026E5983">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10.2.2</w:t>
      </w:r>
      <w:r>
        <w:rPr>
          <w:rFonts w:hint="eastAsia" w:ascii="宋体" w:hAnsi="宋体" w:cs="宋体"/>
          <w:color w:val="000000" w:themeColor="text1"/>
          <w:szCs w:val="24"/>
          <w:highlight w:val="none"/>
          <w:lang w:bidi="ar"/>
          <w14:textFill>
            <w14:solidFill>
              <w14:schemeClr w14:val="tx1"/>
            </w14:solidFill>
          </w14:textFill>
        </w:rPr>
        <w:t>、做好施工场地地下管线和邻近建筑物、构筑物</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包括文物保护建筑</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、古树名木的保护工作；</w:t>
      </w:r>
    </w:p>
    <w:p w14:paraId="7A3C9B8C">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10.2.3</w:t>
      </w:r>
      <w:r>
        <w:rPr>
          <w:rFonts w:hint="eastAsia" w:ascii="宋体" w:hAnsi="宋体" w:cs="宋体"/>
          <w:color w:val="000000" w:themeColor="text1"/>
          <w:szCs w:val="24"/>
          <w:highlight w:val="none"/>
          <w:lang w:bidi="ar"/>
          <w14:textFill>
            <w14:solidFill>
              <w14:schemeClr w14:val="tx1"/>
            </w14:solidFill>
          </w14:textFill>
        </w:rPr>
        <w:t>、遵守政府及甲方有关主管部门对施工场地安全防护、文明施工、环境保护以及场地交通等的管理规定，按规定办理有关手续；</w:t>
      </w:r>
    </w:p>
    <w:p w14:paraId="4C3BC78A">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10.2.4</w:t>
      </w:r>
      <w:r>
        <w:rPr>
          <w:rFonts w:hint="eastAsia" w:ascii="宋体" w:hAnsi="宋体" w:cs="宋体"/>
          <w:color w:val="000000" w:themeColor="text1"/>
          <w:szCs w:val="24"/>
          <w:highlight w:val="none"/>
          <w:lang w:bidi="ar"/>
          <w14:textFill>
            <w14:solidFill>
              <w14:schemeClr w14:val="tx1"/>
            </w14:solidFill>
          </w14:textFill>
        </w:rPr>
        <w:t>、工程质保期内，履行质保义务；</w:t>
      </w:r>
    </w:p>
    <w:p w14:paraId="4D6A8293">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10.2.5</w:t>
      </w:r>
      <w:r>
        <w:rPr>
          <w:rFonts w:hint="eastAsia" w:ascii="宋体" w:hAnsi="宋体" w:cs="宋体"/>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0B0969C5">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10.2.6</w:t>
      </w:r>
      <w:r>
        <w:rPr>
          <w:rFonts w:hint="eastAsia" w:ascii="宋体" w:hAnsi="宋体" w:cs="宋体"/>
          <w:color w:val="000000" w:themeColor="text1"/>
          <w:szCs w:val="24"/>
          <w:highlight w:val="none"/>
          <w:lang w:bidi="ar"/>
          <w14:textFill>
            <w14:solidFill>
              <w14:schemeClr w14:val="tx1"/>
            </w14:solidFill>
          </w14:textFill>
        </w:rPr>
        <w:t>、乙方应按招标人要求及时联系办理电力供电手续及相关部门手续，如未能联系办理相关手续，由此给甲方造成的损失，由乙方承担；</w:t>
      </w:r>
    </w:p>
    <w:p w14:paraId="046E6C38">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10.2.7</w:t>
      </w:r>
      <w:r>
        <w:rPr>
          <w:rFonts w:hint="eastAsia" w:ascii="宋体" w:hAnsi="宋体" w:cs="宋体"/>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62FBB4A9">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十一、安全防护及事故处理</w:t>
      </w:r>
    </w:p>
    <w:p w14:paraId="7602850E">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11.1乙方应当严格遵守安全生产作业的有关管理制度并承担安全施工责任，并随时接受行业安全检查人员依法实施的监督检查，采取必要的安全防护措施，消除事故隐患。由于乙方安全措施不力造成事故的责任和因此发生的费用，由乙方承担。同时，甲方可暂停进度款支付。</w:t>
      </w:r>
    </w:p>
    <w:p w14:paraId="7D124796">
      <w:pPr>
        <w:spacing w:line="360" w:lineRule="auto"/>
        <w:ind w:firstLine="480" w:firstLineChars="200"/>
        <w:rPr>
          <w:b/>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11.2乙方应对其在现场的工作人员进行安全教育</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并对他们的安全负责。</w:t>
      </w:r>
    </w:p>
    <w:p w14:paraId="4FC71D74">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11.3 本项目实施期间，若发生重大伤亡及其他安全事故，乙方应按有关规定立即上报有关部门并通知甲方代表。同时按照政府有关部分要求处理，由事故责任方承担发生的费用。</w:t>
      </w:r>
    </w:p>
    <w:p w14:paraId="66FC1635">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十二、违约责任</w:t>
      </w:r>
    </w:p>
    <w:p w14:paraId="629A5EE7">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12.1 甲方不履行其合同义务，甲方承担违约责任，应赔偿因其违约给乙方造成的经济损失。</w:t>
      </w:r>
    </w:p>
    <w:p w14:paraId="6264A224">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12.2、乙方不履行其合同义务或工程质量不能满足要求，乙方承担违约责任，应赔偿因其违约给甲方造成的经济损失，且甲方有权终止合同。</w:t>
      </w:r>
    </w:p>
    <w:p w14:paraId="6858E772">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12.3、未经甲方同意，乙方不得将工程转包、分包给其他施工单位或个人，否则甲方有权单方解除本合同，且乙方应赔偿由此给甲方造成的经济损失。</w:t>
      </w:r>
    </w:p>
    <w:p w14:paraId="160A454F">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12.4、本合同项下因乙方违约甲方单方终止合同后，乙方应赔偿由此给甲方及第三方造成的一切直接及间接损失。</w:t>
      </w:r>
    </w:p>
    <w:p w14:paraId="7B2C6413">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十三、合同争议的解决</w:t>
      </w:r>
    </w:p>
    <w:p w14:paraId="1502968E">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本合同执行过程中发生纠纷，双方应及时协商解决。协商不成时，由当地建设行政主管部门调解；调解不成时，双方同意向甲方住所地有管辖权的人民法院提起诉讼。</w:t>
      </w:r>
    </w:p>
    <w:p w14:paraId="7DD2A6B2">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十四、合同的生效、终止。</w:t>
      </w:r>
    </w:p>
    <w:p w14:paraId="63DCDCDC">
      <w:pPr>
        <w:spacing w:line="360" w:lineRule="auto"/>
        <w:ind w:left="480" w:left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14.1、合同经双方法定代表人（或委托代理人）签字盖章后生效。工程完工，</w:t>
      </w:r>
    </w:p>
    <w:p w14:paraId="60E9A5BB">
      <w:pPr>
        <w:spacing w:line="360" w:lineRule="auto"/>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双方结算并付清全部工程款后，合同自行终止。</w:t>
      </w:r>
    </w:p>
    <w:p w14:paraId="0DA4D453">
      <w:pPr>
        <w:spacing w:line="360" w:lineRule="auto"/>
        <w:ind w:firstLine="480"/>
        <w:rPr>
          <w:rFonts w:hint="eastAsia" w:ascii="新宋体" w:hAnsi="新宋体" w:eastAsia="新宋体" w:cs="新宋体"/>
          <w:color w:val="000000" w:themeColor="text1"/>
          <w:szCs w:val="24"/>
          <w:highlight w:val="none"/>
          <w:lang w:bidi="ar"/>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14.2、本合同正本贰份，双方各执壹份；副本捌份，发包人执伍份，承包人执叁份。具有同等法律效力。</w:t>
      </w:r>
    </w:p>
    <w:p w14:paraId="36EF670A">
      <w:pPr>
        <w:pageBreakBefore w:val="0"/>
        <w:kinsoku/>
        <w:topLinePunct w:val="0"/>
        <w:bidi w:val="0"/>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eastAsia="zh-CN" w:bidi="ar"/>
          <w14:textFill>
            <w14:solidFill>
              <w14:schemeClr w14:val="tx1"/>
            </w14:solidFill>
          </w14:textFill>
        </w:rPr>
        <w:t>十五、</w:t>
      </w:r>
      <w:r>
        <w:rPr>
          <w:rFonts w:hint="eastAsia" w:ascii="宋体" w:hAnsi="宋体" w:eastAsia="宋体" w:cs="宋体"/>
          <w:b/>
          <w:color w:val="000000" w:themeColor="text1"/>
          <w:sz w:val="24"/>
          <w:szCs w:val="24"/>
          <w:highlight w:val="none"/>
          <w14:textFill>
            <w14:solidFill>
              <w14:schemeClr w14:val="tx1"/>
            </w14:solidFill>
          </w14:textFill>
        </w:rPr>
        <w:t>补充条款</w:t>
      </w:r>
    </w:p>
    <w:p w14:paraId="1CCDBF4C">
      <w:pPr>
        <w:pageBreakBefore w:val="0"/>
        <w:widowControl/>
        <w:kinsoku/>
        <w:topLinePunct w:val="0"/>
        <w:bidi w:val="0"/>
        <w:spacing w:line="360" w:lineRule="auto"/>
        <w:ind w:right="-226" w:rightChars="-94"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乙方应按时发放农民工工资，甲方有权监督乙方在支付当期进度款中发放农民工工资</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如乙方未按时发放农民工工资，影响到本工程的质量和进度，甲方有权从剩余进度款中按乙方所拟的工资额度直接发放农民工的工资，并按发放金额的50%从乙方的剩余工程款中扣除予以处罚。</w:t>
      </w:r>
    </w:p>
    <w:p w14:paraId="530BA6C4">
      <w:pPr>
        <w:pageBreakBefore w:val="0"/>
        <w:widowControl/>
        <w:kinsoku/>
        <w:topLinePunct w:val="0"/>
        <w:bidi w:val="0"/>
        <w:spacing w:line="360" w:lineRule="auto"/>
        <w:ind w:right="-226" w:rightChars="-94" w:firstLine="480" w:firstLineChars="200"/>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2.本次以工代赈项目按照汉中市发展和改革委员会“关于规范以工代赈项目组织实施的通知”汉发改代赈〔2022〕99号文件要求执行</w:t>
      </w:r>
      <w:r>
        <w:rPr>
          <w:rFonts w:hint="eastAsia" w:ascii="宋体" w:hAnsi="宋体" w:cs="宋体"/>
          <w:i w:val="0"/>
          <w:iCs w:val="0"/>
          <w:caps w:val="0"/>
          <w:color w:val="000000" w:themeColor="text1"/>
          <w:spacing w:val="0"/>
          <w:kern w:val="0"/>
          <w:sz w:val="24"/>
          <w:szCs w:val="24"/>
          <w:highlight w:val="none"/>
          <w:shd w:val="clear" w:fill="FFFFFF"/>
          <w:vertAlign w:val="baseline"/>
          <w:lang w:val="en-US" w:eastAsia="zh-CN" w:bidi="ar"/>
          <w14:textFill>
            <w14:solidFill>
              <w14:schemeClr w14:val="tx1"/>
            </w14:solidFill>
          </w14:textFill>
        </w:rPr>
        <w:t>。</w:t>
      </w:r>
    </w:p>
    <w:p w14:paraId="4F8A40D5">
      <w:pPr>
        <w:pageBreakBefore w:val="0"/>
        <w:widowControl/>
        <w:kinsoku/>
        <w:topLinePunct w:val="0"/>
        <w:bidi w:val="0"/>
        <w:spacing w:line="360" w:lineRule="auto"/>
        <w:ind w:right="-226" w:rightChars="-94" w:firstLine="480" w:firstLineChars="200"/>
        <w:jc w:val="left"/>
        <w:rPr>
          <w:rFonts w:hint="eastAsia" w:ascii="宋体" w:hAnsi="宋体" w:cs="宋体"/>
          <w:color w:val="000000" w:themeColor="text1"/>
          <w:kern w:val="0"/>
          <w:sz w:val="24"/>
          <w:szCs w:val="24"/>
          <w:highlight w:val="none"/>
          <w:lang w:val="en-US" w:eastAsia="zh-CN"/>
          <w14:textFill>
            <w14:solidFill>
              <w14:schemeClr w14:val="tx1"/>
            </w14:solidFill>
          </w14:textFill>
        </w:rPr>
      </w:pPr>
      <w:r>
        <w:rPr>
          <w:rFonts w:hint="eastAsia" w:ascii="宋体" w:hAnsi="宋体" w:cs="宋体"/>
          <w:color w:val="000000" w:themeColor="text1"/>
          <w:kern w:val="0"/>
          <w:sz w:val="24"/>
          <w:szCs w:val="24"/>
          <w:highlight w:val="none"/>
          <w:lang w:val="en-US" w:eastAsia="zh-CN"/>
          <w14:textFill>
            <w14:solidFill>
              <w14:schemeClr w14:val="tx1"/>
            </w14:solidFill>
          </w14:textFill>
        </w:rPr>
        <w:t>3.本工程为以工代赈示范项目，在项目实施过程中将尽可能地提升劳务报酬比例，严格把握“务工是手段、赈济是目的”的政策内涵，确保以工代赈项目资金安排在有就业需求、劳务报酬能发放到位的地方。</w:t>
      </w:r>
    </w:p>
    <w:p w14:paraId="5D37431C">
      <w:pPr>
        <w:pageBreakBefore w:val="0"/>
        <w:widowControl/>
        <w:kinsoku/>
        <w:topLinePunct w:val="0"/>
        <w:bidi w:val="0"/>
        <w:spacing w:line="360" w:lineRule="auto"/>
        <w:ind w:right="-226" w:rightChars="-94" w:firstLine="480" w:firstLineChars="200"/>
        <w:jc w:val="left"/>
        <w:rPr>
          <w:rFonts w:hint="eastAsia" w:ascii="宋体" w:hAnsi="宋体" w:eastAsia="宋体" w:cs="Times New Roman"/>
          <w:color w:val="000000" w:themeColor="text1"/>
          <w:szCs w:val="24"/>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r>
        <w:rPr>
          <w:color w:val="000000" w:themeColor="text1"/>
          <w:spacing w:val="3"/>
          <w:highlight w:val="none"/>
          <w14:textFill>
            <w14:solidFill>
              <w14:schemeClr w14:val="tx1"/>
            </w14:solidFill>
          </w14:textFill>
        </w:rPr>
        <w:t>群众务工</w:t>
      </w:r>
      <w:r>
        <w:rPr>
          <w:color w:val="000000" w:themeColor="text1"/>
          <w:spacing w:val="6"/>
          <w:highlight w:val="none"/>
          <w14:textFill>
            <w14:solidFill>
              <w14:schemeClr w14:val="tx1"/>
            </w14:solidFill>
          </w14:textFill>
        </w:rPr>
        <w:t>组织</w:t>
      </w:r>
      <w:r>
        <w:rPr>
          <w:rFonts w:hint="eastAsia"/>
          <w:color w:val="000000" w:themeColor="text1"/>
          <w:spacing w:val="6"/>
          <w:highlight w:val="none"/>
          <w:lang w:eastAsia="zh-CN"/>
          <w14:textFill>
            <w14:solidFill>
              <w14:schemeClr w14:val="tx1"/>
            </w14:solidFill>
          </w14:textFill>
        </w:rPr>
        <w:t>：重点吸纳岳坝镇返乡农民工、家庭经济困难高校毕业生、脱贫人口及防止返贫监测对象（含易地搬迁脱贫人口、突发严重困难户、脱贫不稳定户、边缘易致贫户）、未就业退役军人、城镇相关失业人员、其他农村低收入人口六类人群，其次再吸纳一般群众</w:t>
      </w:r>
      <w:r>
        <w:rPr>
          <w:rFonts w:hint="eastAsia" w:ascii="宋体" w:hAnsi="宋体" w:eastAsia="宋体" w:cs="Times New Roman"/>
          <w:color w:val="000000" w:themeColor="text1"/>
          <w:szCs w:val="24"/>
          <w:highlight w:val="none"/>
          <w:lang w:val="en-US" w:eastAsia="zh-CN"/>
          <w14:textFill>
            <w14:solidFill>
              <w14:schemeClr w14:val="tx1"/>
            </w14:solidFill>
          </w14:textFill>
        </w:rPr>
        <w:t>。</w:t>
      </w:r>
    </w:p>
    <w:p w14:paraId="7B7205C1">
      <w:pPr>
        <w:pageBreakBefore w:val="0"/>
        <w:widowControl/>
        <w:kinsoku/>
        <w:topLinePunct w:val="0"/>
        <w:bidi w:val="0"/>
        <w:spacing w:line="360" w:lineRule="auto"/>
        <w:ind w:right="-226" w:rightChars="-94" w:firstLine="480" w:firstLineChars="200"/>
        <w:jc w:val="left"/>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w:t>
      </w:r>
      <w:r>
        <w:rPr>
          <w:color w:val="000000" w:themeColor="text1"/>
          <w:spacing w:val="3"/>
          <w:highlight w:val="none"/>
          <w14:textFill>
            <w14:solidFill>
              <w14:schemeClr w14:val="tx1"/>
            </w14:solidFill>
          </w14:textFill>
        </w:rPr>
        <w:t>劳务报酬</w:t>
      </w:r>
      <w:r>
        <w:rPr>
          <w:color w:val="000000" w:themeColor="text1"/>
          <w:spacing w:val="4"/>
          <w:highlight w:val="none"/>
          <w14:textFill>
            <w14:solidFill>
              <w14:schemeClr w14:val="tx1"/>
            </w14:solidFill>
          </w14:textFill>
        </w:rPr>
        <w:t>发放</w:t>
      </w:r>
      <w:r>
        <w:rPr>
          <w:rFonts w:hint="eastAsia"/>
          <w:color w:val="000000" w:themeColor="text1"/>
          <w:spacing w:val="4"/>
          <w:highlight w:val="none"/>
          <w:lang w:val="en-US" w:eastAsia="zh-CN"/>
          <w14:textFill>
            <w14:solidFill>
              <w14:schemeClr w14:val="tx1"/>
            </w14:solidFill>
          </w14:textFill>
        </w:rPr>
        <w:t>：严格执行以工代赈政策要求，在保证工程质量、技术许可的前提下，按照“能用人工的尽量不用机械、能组织当地群众务工的尽量不用专业队伍”的原则，吸纳务工人员以岳坝镇的群众为主，项目预计带动就业50人，发放劳务报酬61.708万元，占拟申请中央财政补助资金的44.077%。</w:t>
      </w:r>
      <w:r>
        <w:rPr>
          <w:rFonts w:hint="eastAsia" w:ascii="宋体" w:hAnsi="宋体" w:cs="Times New Roman"/>
          <w:color w:val="000000" w:themeColor="text1"/>
          <w:szCs w:val="24"/>
          <w:highlight w:val="none"/>
          <w:lang w:val="en-US" w:eastAsia="zh-CN"/>
          <w14:textFill>
            <w14:solidFill>
              <w14:schemeClr w14:val="tx1"/>
            </w14:solidFill>
          </w14:textFill>
        </w:rPr>
        <w:t>乙方</w:t>
      </w:r>
      <w:r>
        <w:rPr>
          <w:rFonts w:hint="eastAsia" w:ascii="宋体" w:hAnsi="宋体" w:eastAsia="宋体" w:cs="Times New Roman"/>
          <w:color w:val="000000" w:themeColor="text1"/>
          <w:szCs w:val="24"/>
          <w:highlight w:val="none"/>
          <w:lang w:val="en-US" w:eastAsia="zh-CN"/>
          <w14:textFill>
            <w14:solidFill>
              <w14:schemeClr w14:val="tx1"/>
            </w14:solidFill>
          </w14:textFill>
        </w:rPr>
        <w:t>须对此项</w:t>
      </w:r>
      <w:r>
        <w:rPr>
          <w:rFonts w:hint="eastAsia" w:ascii="宋体" w:hAnsi="宋体" w:cs="Times New Roman"/>
          <w:color w:val="000000" w:themeColor="text1"/>
          <w:szCs w:val="24"/>
          <w:highlight w:val="none"/>
          <w:lang w:val="en-US" w:eastAsia="zh-CN"/>
          <w14:textFill>
            <w14:solidFill>
              <w14:schemeClr w14:val="tx1"/>
            </w14:solidFill>
          </w14:textFill>
        </w:rPr>
        <w:t>内容完全执行</w:t>
      </w:r>
      <w:r>
        <w:rPr>
          <w:rFonts w:hint="eastAsia" w:ascii="宋体" w:hAnsi="宋体" w:eastAsia="宋体" w:cs="Times New Roman"/>
          <w:color w:val="000000" w:themeColor="text1"/>
          <w:szCs w:val="24"/>
          <w:highlight w:val="none"/>
          <w:lang w:val="en-US" w:eastAsia="zh-CN"/>
          <w14:textFill>
            <w14:solidFill>
              <w14:schemeClr w14:val="tx1"/>
            </w14:solidFill>
          </w14:textFill>
        </w:rPr>
        <w:t>。</w:t>
      </w:r>
    </w:p>
    <w:p w14:paraId="2D54A7BA">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w:t>
      </w:r>
      <w:r>
        <w:rPr>
          <w:rFonts w:hint="eastAsia" w:ascii="新宋体" w:hAnsi="新宋体" w:eastAsia="新宋体" w:cs="新宋体"/>
          <w:b/>
          <w:color w:val="000000" w:themeColor="text1"/>
          <w:szCs w:val="24"/>
          <w:highlight w:val="none"/>
          <w:lang w:eastAsia="zh-CN" w:bidi="ar"/>
          <w14:textFill>
            <w14:solidFill>
              <w14:schemeClr w14:val="tx1"/>
            </w14:solidFill>
          </w14:textFill>
        </w:rPr>
        <w:t>六</w:t>
      </w:r>
      <w:r>
        <w:rPr>
          <w:rFonts w:hint="eastAsia" w:ascii="新宋体" w:hAnsi="新宋体" w:eastAsia="新宋体" w:cs="新宋体"/>
          <w:b/>
          <w:color w:val="000000" w:themeColor="text1"/>
          <w:szCs w:val="24"/>
          <w:highlight w:val="none"/>
          <w:lang w:bidi="ar"/>
          <w14:textFill>
            <w14:solidFill>
              <w14:schemeClr w14:val="tx1"/>
            </w14:solidFill>
          </w14:textFill>
        </w:rPr>
        <w:t>、其它</w:t>
      </w:r>
    </w:p>
    <w:p w14:paraId="36029F5F">
      <w:pPr>
        <w:spacing w:line="360" w:lineRule="auto"/>
        <w:ind w:firstLine="48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本合同未尽事宜，双方另行签订补充协议。补充协议与本合同具有同等法律效力。</w:t>
      </w:r>
      <w:bookmarkStart w:id="3" w:name="_GoBack"/>
      <w:bookmarkEnd w:id="3"/>
    </w:p>
    <w:p w14:paraId="645B1916">
      <w:pPr>
        <w:spacing w:line="360" w:lineRule="auto"/>
        <w:ind w:firstLine="48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甲方单位名称：                       乙方单位名称：</w:t>
      </w:r>
    </w:p>
    <w:p w14:paraId="30753484">
      <w:pPr>
        <w:spacing w:line="360" w:lineRule="auto"/>
        <w:ind w:firstLine="720" w:firstLineChars="3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（盖章）                             （盖章）</w:t>
      </w:r>
    </w:p>
    <w:p w14:paraId="1D8D1F72">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法定代表人</w:t>
      </w:r>
      <w:r>
        <w:rPr>
          <w:rFonts w:hint="eastAsia" w:ascii="新宋体" w:hAnsi="新宋体" w:eastAsia="新宋体" w:cs="新宋体"/>
          <w:color w:val="000000" w:themeColor="text1"/>
          <w:szCs w:val="24"/>
          <w:highlight w:val="none"/>
          <w:lang w:val="en-US" w:eastAsia="zh-CN" w:bidi="ar"/>
          <w14:textFill>
            <w14:solidFill>
              <w14:schemeClr w14:val="tx1"/>
            </w14:solidFill>
          </w14:textFill>
        </w:rPr>
        <w:t>或被授权代表</w:t>
      </w:r>
      <w:r>
        <w:rPr>
          <w:rFonts w:hint="eastAsia" w:ascii="新宋体" w:hAnsi="新宋体" w:eastAsia="新宋体" w:cs="新宋体"/>
          <w:color w:val="000000" w:themeColor="text1"/>
          <w:szCs w:val="24"/>
          <w:highlight w:val="none"/>
          <w:lang w:bidi="ar"/>
          <w14:textFill>
            <w14:solidFill>
              <w14:schemeClr w14:val="tx1"/>
            </w14:solidFill>
          </w14:textFill>
        </w:rPr>
        <w:t>：             法定代表人</w:t>
      </w:r>
      <w:r>
        <w:rPr>
          <w:rFonts w:hint="eastAsia" w:ascii="新宋体" w:hAnsi="新宋体" w:eastAsia="新宋体" w:cs="新宋体"/>
          <w:color w:val="000000" w:themeColor="text1"/>
          <w:szCs w:val="24"/>
          <w:highlight w:val="none"/>
          <w:lang w:val="en-US" w:eastAsia="zh-CN" w:bidi="ar"/>
          <w14:textFill>
            <w14:solidFill>
              <w14:schemeClr w14:val="tx1"/>
            </w14:solidFill>
          </w14:textFill>
        </w:rPr>
        <w:t>或被授权代表</w:t>
      </w:r>
      <w:r>
        <w:rPr>
          <w:rFonts w:hint="eastAsia" w:ascii="新宋体" w:hAnsi="新宋体" w:eastAsia="新宋体" w:cs="新宋体"/>
          <w:color w:val="000000" w:themeColor="text1"/>
          <w:szCs w:val="24"/>
          <w:highlight w:val="none"/>
          <w:lang w:bidi="ar"/>
          <w14:textFill>
            <w14:solidFill>
              <w14:schemeClr w14:val="tx1"/>
            </w14:solidFill>
          </w14:textFill>
        </w:rPr>
        <w:t xml:space="preserve">：  </w:t>
      </w:r>
    </w:p>
    <w:p w14:paraId="62147752">
      <w:pPr>
        <w:spacing w:line="360" w:lineRule="auto"/>
        <w:ind w:firstLine="480" w:firstLineChars="200"/>
        <w:rPr>
          <w:rFonts w:hint="eastAsia"/>
          <w:color w:val="000000" w:themeColor="text1"/>
          <w:highlight w:val="none"/>
          <w:lang w:eastAsia="zh-CN"/>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 xml:space="preserve"> 年     月    日                       年     月    日</w:t>
      </w:r>
      <w:r>
        <w:rPr>
          <w:rFonts w:ascii="Calibri" w:hAnsi="Calibri"/>
          <w:b/>
          <w:color w:val="000000" w:themeColor="text1"/>
          <w:szCs w:val="24"/>
          <w:highlight w:val="none"/>
          <w:lang w:bidi="ar"/>
          <w14:textFill>
            <w14:solidFill>
              <w14:schemeClr w14:val="tx1"/>
            </w14:solidFill>
          </w14:textFill>
        </w:rPr>
        <w:t xml:space="preserve"> </w:t>
      </w:r>
      <w:bookmarkStart w:id="0" w:name="_Toc27831"/>
      <w:bookmarkStart w:id="1" w:name="_Toc458617467"/>
      <w:bookmarkStart w:id="2" w:name="_Toc458617744"/>
    </w:p>
    <w:bookmarkEnd w:id="0"/>
    <w:bookmarkEnd w:id="1"/>
    <w:bookmarkEnd w:id="2"/>
    <w:p w14:paraId="3A8A70AD">
      <w:pPr>
        <w:spacing w:line="360" w:lineRule="auto"/>
        <w:ind w:firstLine="48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744E"/>
    <w:rsid w:val="0A482EEB"/>
    <w:rsid w:val="49392F4A"/>
    <w:rsid w:val="54806FE9"/>
    <w:rsid w:val="6C417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3246</Words>
  <Characters>3398</Characters>
  <Lines>0</Lines>
  <Paragraphs>0</Paragraphs>
  <TotalTime>1</TotalTime>
  <ScaleCrop>false</ScaleCrop>
  <LinksUpToDate>false</LinksUpToDate>
  <CharactersWithSpaces>3705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2026-02-02T11:28:00Z</dcterms:created>
  <dc:creator>Administrator</dc:creator>
  <cp:lastModifiedBy>Administrator</cp:lastModifiedBy>
  <dcterms:modified xsi:type="dcterms:W3CDTF">2026-02-27T11:52:15Z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DCDFAB475E6343A2ACB1C99D73AF648C_11</vt:lpwstr>
  </property>
  <property fmtid="{D5CDD505-2E9C-101B-9397-08002B2CF9AE}" pid="4" name="KSOTemplateDocerSaveRecord">
    <vt:lpwstr>eyJoZGlkIjoiZDA1N2I0YWY0MjJhZTA1NTU2M2E4MmVjMGI5MmIwNTQiLCJ1c2VySWQiOiIyMzc4MTk3NjYifQ==</vt:lpwstr>
  </property>
</Properties>
</file>