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版本号：DHY-2026-HZ00120260311001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佛坪县东岳殿至陈家坝公路改建工程桃园沟口桥梁及引线项目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DHY-2026-HZ001</w:t>
      </w:r>
      <w:r>
        <w:br/>
      </w:r>
      <w:r>
        <w:br/>
      </w:r>
      <w:r>
        <w:br/>
      </w:r>
    </w:p>
    <w:p>
      <w:pPr>
        <w:pStyle w:val="null3"/>
        <w:jc w:val="center"/>
        <w:outlineLvl w:val="2"/>
      </w:pPr>
      <w:r>
        <w:rPr>
          <w:rFonts w:ascii="仿宋_GB2312" w:hAnsi="仿宋_GB2312" w:cs="仿宋_GB2312" w:eastAsia="仿宋_GB2312"/>
          <w:sz w:val="28"/>
          <w:b/>
        </w:rPr>
        <w:t>佛坪县交通运输局</w:t>
      </w:r>
    </w:p>
    <w:p>
      <w:pPr>
        <w:pStyle w:val="null3"/>
        <w:jc w:val="center"/>
        <w:outlineLvl w:val="2"/>
      </w:pPr>
      <w:r>
        <w:rPr>
          <w:rFonts w:ascii="仿宋_GB2312" w:hAnsi="仿宋_GB2312" w:cs="仿宋_GB2312" w:eastAsia="仿宋_GB2312"/>
          <w:sz w:val="28"/>
          <w:b/>
        </w:rPr>
        <w:t>陕西鼎慧源工程项目管理有限公司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陕西鼎慧源工程项目管理有限公司</w:t>
      </w:r>
      <w:r>
        <w:rPr>
          <w:rFonts w:ascii="仿宋_GB2312" w:hAnsi="仿宋_GB2312" w:cs="仿宋_GB2312" w:eastAsia="仿宋_GB2312"/>
        </w:rPr>
        <w:t>（以下简称“代理机构”）受</w:t>
      </w:r>
      <w:r>
        <w:rPr>
          <w:rFonts w:ascii="仿宋_GB2312" w:hAnsi="仿宋_GB2312" w:cs="仿宋_GB2312" w:eastAsia="仿宋_GB2312"/>
        </w:rPr>
        <w:t>佛坪县交通运输局</w:t>
      </w:r>
      <w:r>
        <w:rPr>
          <w:rFonts w:ascii="仿宋_GB2312" w:hAnsi="仿宋_GB2312" w:cs="仿宋_GB2312" w:eastAsia="仿宋_GB2312"/>
        </w:rPr>
        <w:t>委托，拟对</w:t>
      </w:r>
      <w:r>
        <w:rPr>
          <w:rFonts w:ascii="仿宋_GB2312" w:hAnsi="仿宋_GB2312" w:cs="仿宋_GB2312" w:eastAsia="仿宋_GB2312"/>
        </w:rPr>
        <w:t>佛坪县东岳殿至陈家坝公路改建工程桃园沟口桥梁及引线项目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DHY-2026-HZ001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佛坪县东岳殿至陈家坝公路改建工程桃园沟口桥梁及引线项目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主要建设内容：本工程为佛坪县东岳殿至陈家坝公路改建工程桃园沟口桥梁及引线项目位于佛坪县袁家庄街道办，拆除桃园沟口旧桥，在原址新建20.8米平板桥一座，桥宽8.5米，桥梁纵坡2.97%，上部采用2×10米普通钢筋混凝土现浇实心板;下部结构中，桥台采用柱式台，桥墩采用柱式墩，基础均采用桩基础，设计荷载为公路-I类。采用三级公路技术标准对桥头引线进行改建，设计速度30千米/小时，路基宽度7.5米，同步采用衡重式路肩墙形式实施挡土墙建设，安装Gr-B-2C类型的波形护栏。</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采购包1（佛坪县东岳殿至陈家坝公路改建工程桃园沟口桥梁及引线项目）：属于专门面向中小企业采购。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2、授权代表身份证明：法定代表人授权委托书(附法定代表人身份证复印件及被授权人身份证复印件);法定代表人直接参加投标只须提供法定代表人证明书(附法定代表人身份证复印件)</w:t>
      </w:r>
    </w:p>
    <w:p>
      <w:pPr>
        <w:pStyle w:val="null3"/>
      </w:pPr>
      <w:r>
        <w:rPr>
          <w:rFonts w:ascii="仿宋_GB2312" w:hAnsi="仿宋_GB2312" w:cs="仿宋_GB2312" w:eastAsia="仿宋_GB2312"/>
        </w:rPr>
        <w:t>3、汉中市政府采购供应商资格承诺函：供应商须具有健全的财务会计制度、具有履行合同所必需的设备和专业技术能力、具有依法缴纳税收和社会保障资金的良好记录，以及参加本项目采购活动前三年内经营活动无重大违法活动记录，供应商提供《汉中市政府采购供应商资格承诺函》</w:t>
      </w:r>
    </w:p>
    <w:p>
      <w:pPr>
        <w:pStyle w:val="null3"/>
      </w:pPr>
      <w:r>
        <w:rPr>
          <w:rFonts w:ascii="仿宋_GB2312" w:hAnsi="仿宋_GB2312" w:cs="仿宋_GB2312" w:eastAsia="仿宋_GB2312"/>
        </w:rPr>
        <w:t>4、供应商资质要求：供应商须具备公路工程施工总承包三级及以上资质，并具备有效的安全生产许可证;</w:t>
      </w:r>
    </w:p>
    <w:p>
      <w:pPr>
        <w:pStyle w:val="null3"/>
      </w:pPr>
      <w:r>
        <w:rPr>
          <w:rFonts w:ascii="仿宋_GB2312" w:hAnsi="仿宋_GB2312" w:cs="仿宋_GB2312" w:eastAsia="仿宋_GB2312"/>
        </w:rPr>
        <w:t>5、似派项目负责人资质与专业要求：拟派项目经理须具有公路工程专业二级及以上注册建造师资格和有效的安全考核合格证书(B证)，且无在岗工程(出具无在岗承诺书);</w:t>
      </w:r>
    </w:p>
    <w:p>
      <w:pPr>
        <w:pStyle w:val="null3"/>
      </w:pPr>
      <w:r>
        <w:rPr>
          <w:rFonts w:ascii="仿宋_GB2312" w:hAnsi="仿宋_GB2312" w:cs="仿宋_GB2312" w:eastAsia="仿宋_GB2312"/>
        </w:rPr>
        <w:t>6、《无拖欠农民工工资证明》：供应商需提供由项目所在地人社部门出具的《无拖欠农民工工资证明》原件扫描件；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佛坪县交通运输局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佛坪县河堤街4号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佛坪县交通运输局经办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18291632225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陕西鼎慧源工程项目管理有限公司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陕西省汉中市汉台区滨江印象西门五楼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0916-8881950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肖慧</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采购包1：2,642,283.00元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开户名称：陕西鼎慧源工程项目管理有限公司汉中分公司</w:t>
            </w:r>
          </w:p>
          <w:p>
            <w:pPr>
              <w:pStyle w:val="null3"/>
            </w:pPr>
            <w:r>
              <w:rPr>
                <w:rFonts w:ascii="仿宋_GB2312" w:hAnsi="仿宋_GB2312" w:cs="仿宋_GB2312" w:eastAsia="仿宋_GB2312"/>
              </w:rPr>
              <w:t>开户银行：中国工商银行股份有限公司汉中北团结街支行</w:t>
            </w:r>
          </w:p>
          <w:p>
            <w:pPr>
              <w:pStyle w:val="null3"/>
            </w:pPr>
            <w:r>
              <w:rPr>
                <w:rFonts w:ascii="仿宋_GB2312" w:hAnsi="仿宋_GB2312" w:cs="仿宋_GB2312" w:eastAsia="仿宋_GB2312"/>
              </w:rPr>
              <w:t>银行账号：2606 0503 0920 0271 036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收费依据及支付依据：按照“国家计委关于印发《招标代理服务费管理暂行办法的通知》（计价格【2002】1980号）”规定收费标准收取。以项目中标价格为基数，按照合同标准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佛坪县交通运输局</w:t>
      </w:r>
      <w:r>
        <w:rPr>
          <w:rFonts w:ascii="仿宋_GB2312" w:hAnsi="仿宋_GB2312" w:cs="仿宋_GB2312" w:eastAsia="仿宋_GB2312"/>
        </w:rPr>
        <w:t>和</w:t>
      </w:r>
      <w:r>
        <w:rPr>
          <w:rFonts w:ascii="仿宋_GB2312" w:hAnsi="仿宋_GB2312" w:cs="仿宋_GB2312" w:eastAsia="仿宋_GB2312"/>
        </w:rPr>
        <w:t>陕西鼎慧源工程项目管理有限公司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佛坪县交通运输局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陕西鼎慧源工程项目管理有限公司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佛坪县交通运输局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陕西鼎慧源工程项目管理有限公司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以实际验收为准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陕西鼎慧源工程项目管理有限公司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陕西鼎慧源工程项目管理有限公司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陕西鼎慧源工程项目管理有限公司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联系人：徐女士</w:t>
      </w:r>
    </w:p>
    <w:p>
      <w:pPr>
        <w:pStyle w:val="null3"/>
      </w:pPr>
      <w:r>
        <w:rPr>
          <w:rFonts w:ascii="仿宋_GB2312" w:hAnsi="仿宋_GB2312" w:cs="仿宋_GB2312" w:eastAsia="仿宋_GB2312"/>
        </w:rPr>
        <w:t>联系电话：0916-8881950</w:t>
      </w:r>
    </w:p>
    <w:p>
      <w:pPr>
        <w:pStyle w:val="null3"/>
      </w:pPr>
      <w:r>
        <w:rPr>
          <w:rFonts w:ascii="仿宋_GB2312" w:hAnsi="仿宋_GB2312" w:cs="仿宋_GB2312" w:eastAsia="仿宋_GB2312"/>
        </w:rPr>
        <w:t>地址：汉中市汉台区滨江印象西门五楼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2,642,283.00</w:t>
      </w:r>
    </w:p>
    <w:p>
      <w:pPr>
        <w:pStyle w:val="null3"/>
      </w:pPr>
      <w:r>
        <w:rPr>
          <w:rFonts w:ascii="仿宋_GB2312" w:hAnsi="仿宋_GB2312" w:cs="仿宋_GB2312" w:eastAsia="仿宋_GB2312"/>
        </w:rPr>
        <w:t>采购包最高限价（元）: 2,642,283.00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公路工程施工</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2,642,283.00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交通运输业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标的名称：公路工程施工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具体详见本项目工程量清单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 期 ：90日历天 ； 质量要求：交工验收的质量等级评定：合格； 竣工验收的质量等级评定：合格。 缺陷责任期：自竣工验收合格之日起满2年； 质量保修期：自竣工验收合格之日起满2年；</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一、1.工期:90日历天;2.质量要求:符合国家现行有关施工质量验收规范“合格"要求;3.缺陷责任期:工程验收合格后12个月;4.漏项处理:施工过程中发现工程量清单中存在漏项工程的，该漏项工程作为本项目采购的组成部分，采购人和供应商可以按照双方合同的规定协商解决。 二、编制范围 佛坪县东岳殿至陈家坝公路改建工程桃园沟口桥梁及引线项目项目施工图纸全部内容。 三、编制依据 1、交通运输部公告【2017】51号颁布的《公路工程标准施工招标文件（2018版）》； 2、交通运输部公告【2018】86号颁布的《公路工程基本建设项目概算预算编制办法》（JTG3830-2018）； 3、交通运输部公告【2018】86号颁布的《公路工程预算定额》（JTG/T3832-2018）； 4、交通运输部公告【2018】86号颁布的《公路工程机械台班费用定额》（JTG/T3833-2018）； 5、财政部、税务总局、海关总署公告【2019】39号关于《深化增值税改革有关政策的公告》； 6、陕西省交通运输厅文件关于印发《&lt;公路工程建设项目投资估算编制办法&gt;&lt;公路工程建设项目概算预算编制办法&gt;补充规定》的通知（陕交发【2019】93号）； 7、《佛坪县东岳殿至陈家坝公路改建工程桃园沟口桥梁及引线项目项目》施工图。 四、其他项目费及材料价格说明 1、材料信息价按照陕西省交通运输造价事务中心颁布的2025年11月信息价； 2、建筑工程一切险按第200章至第700章合计的0.30%计取； 3、第三方责任险按第200章至第700章合计的0.10%计取； 4、安全生产费按第200章至第700章合计的1.50%计取。</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2.成交供应商在采购结果发布后3个工作日内向代理机构提交纸质版响应文件以便于存档，响应文件正本1份，副本2份(可以使用签章文件直接打印)，电子版文件2份(以U盘为载体，PDF格式)，纸质响应文件均须A4纸打印，分别各自装订成册并编制目录和页码。线下递交响应文件地点：陕西鼎慧源工程项目管理有限公司(汉中市汉台区滨江印象西门五楼。3.如磋商文件中融资相关内容与新政策要求有出入，按照最新要求执行。 3.4：本项目合同通用条例、项目专用条例为《公路工程招标文件范本2018版》相关内容 3.5：施工单位建设过程中严格落实《陕西省农民工工资支付保障规定》、《农民工工资保证金管理暂行办法》、《农民工实名制管理办法》，收到工程款后先足额支付农民工工资）。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属性为：工程类；本项目采购标的所属行业为：建筑业；根据《政府采购促进中小企业发展管理办法》（财库﹝2020﹞46号）第十一条相关规定。中小企业参加政府采购活动，应当出具有效的《中小企业声明函》，才可以通过资格审查并享受中小企业扶持政策（声明函附进磋商响应文件正副本内）。 注：供应商对所提交的《中小企业声明函》声明内容的真实性负责。如有虚假，将依法承担相应责任。</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法定代表人授权委托书(附法定代表人身份证复印件及被授权人身份证复印件);法定代表人直接参加投标只须提供法定代表人证明书(附法定代表人身份证复印件)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经营活动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供应商须具备公路工程施工总承包三级及以上资质，并具备有效的安全生产许可证;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似派项目负责人资质与专业要求</w:t>
            </w:r>
          </w:p>
        </w:tc>
        <w:tc>
          <w:tcPr>
            <w:tcW w:type="dxa" w:w="3322"/>
          </w:tcPr>
          <w:p>
            <w:pPr>
              <w:pStyle w:val="null3"/>
            </w:pPr>
            <w:r>
              <w:rPr>
                <w:rFonts w:ascii="仿宋_GB2312" w:hAnsi="仿宋_GB2312" w:cs="仿宋_GB2312" w:eastAsia="仿宋_GB2312"/>
              </w:rPr>
              <w:t>拟派项目经理须具有公路工程专业二级及以上注册建造师资格和有效的安全考核合格证书(B证)，且无在岗工程(出具无在岗承诺书);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《无拖欠农民工工资证明》</w:t>
            </w:r>
          </w:p>
        </w:tc>
        <w:tc>
          <w:tcPr>
            <w:tcW w:type="dxa" w:w="3322"/>
          </w:tcPr>
          <w:p>
            <w:pPr>
              <w:pStyle w:val="null3"/>
            </w:pPr>
            <w:r>
              <w:rPr>
                <w:rFonts w:ascii="仿宋_GB2312" w:hAnsi="仿宋_GB2312" w:cs="仿宋_GB2312" w:eastAsia="仿宋_GB2312"/>
              </w:rPr>
              <w:t>供应商需提供由项目所在地人社部门出具的《无拖欠农民工工资证明》原件扫描件；</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项目部人员组成</w:t>
            </w:r>
          </w:p>
        </w:tc>
        <w:tc>
          <w:tcPr>
            <w:tcW w:type="dxa" w:w="2492"/>
          </w:tcPr>
          <w:p>
            <w:pPr>
              <w:pStyle w:val="null3"/>
            </w:pPr>
            <w:r>
              <w:rPr>
                <w:rFonts w:ascii="仿宋_GB2312" w:hAnsi="仿宋_GB2312" w:cs="仿宋_GB2312" w:eastAsia="仿宋_GB2312"/>
              </w:rPr>
              <w:t>主要管理人员包括：项目经理、项目总工、安全员（只提供项目经理不得分，每多提供一个人员加1分，本项最高得3分）； 项目经理及项目总工均提供中级及以上职称得1分，缺一人或无此项得0分；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供应商提供2022年至今完成类似公路工程施工业绩，每提供一份得4分，此项最高得16分；无类似业绩不得分。注：以中标通知书或施工合同为准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主要工程项目的施工方案与技术措施</w:t>
            </w:r>
          </w:p>
        </w:tc>
        <w:tc>
          <w:tcPr>
            <w:tcW w:type="dxa" w:w="2492"/>
          </w:tcPr>
          <w:p>
            <w:pPr>
              <w:pStyle w:val="null3"/>
            </w:pPr>
            <w:r>
              <w:rPr>
                <w:rFonts w:ascii="仿宋_GB2312" w:hAnsi="仿宋_GB2312" w:cs="仿宋_GB2312" w:eastAsia="仿宋_GB2312"/>
              </w:rPr>
              <w:t>a.施工方案与技术措施完善、科学、详细，内容全面得8.8-10分； b.施工方案与技术措施完善、科学、详细，内容较全面得7.4-8.7分； c.施工方案与技术措施基本完善、科学、详细，内容基本全面得6-7.3分。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技术投标方案.docx</w:t>
            </w:r>
          </w:p>
        </w:tc>
      </w:tr>
      <w:tr>
        <w:tc>
          <w:tcPr>
            <w:tcW w:type="dxa" w:w="831"/>
            <w:vMerge/>
          </w:tcPr>
          <w:p/>
        </w:tc>
        <w:tc>
          <w:tcPr>
            <w:tcW w:type="dxa" w:w="1661"/>
          </w:tcPr>
          <w:p>
            <w:pPr>
              <w:pStyle w:val="null3"/>
            </w:pPr>
            <w:r>
              <w:rPr>
                <w:rFonts w:ascii="仿宋_GB2312" w:hAnsi="仿宋_GB2312" w:cs="仿宋_GB2312" w:eastAsia="仿宋_GB2312"/>
              </w:rPr>
              <w:t>工期保证体系及保证措施</w:t>
            </w:r>
          </w:p>
        </w:tc>
        <w:tc>
          <w:tcPr>
            <w:tcW w:type="dxa" w:w="2492"/>
          </w:tcPr>
          <w:p>
            <w:pPr>
              <w:pStyle w:val="null3"/>
            </w:pPr>
            <w:r>
              <w:rPr>
                <w:rFonts w:ascii="仿宋_GB2312" w:hAnsi="仿宋_GB2312" w:cs="仿宋_GB2312" w:eastAsia="仿宋_GB2312"/>
              </w:rPr>
              <w:t>a. 工期保证体系及保证措施合理、可行性强，得8.8-10分； b. 工期保证体系及保证措施较合理，可行性较强，得7.4-8.7分； c. 工期保证体系及保证措施基本满足施工要求，可行性一般，得6-7.3分。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技术投标方案.docx</w:t>
            </w:r>
          </w:p>
        </w:tc>
      </w:tr>
      <w:tr>
        <w:tc>
          <w:tcPr>
            <w:tcW w:type="dxa" w:w="831"/>
            <w:vMerge/>
          </w:tcPr>
          <w:p/>
        </w:tc>
        <w:tc>
          <w:tcPr>
            <w:tcW w:type="dxa" w:w="1661"/>
          </w:tcPr>
          <w:p>
            <w:pPr>
              <w:pStyle w:val="null3"/>
            </w:pPr>
            <w:r>
              <w:rPr>
                <w:rFonts w:ascii="仿宋_GB2312" w:hAnsi="仿宋_GB2312" w:cs="仿宋_GB2312" w:eastAsia="仿宋_GB2312"/>
              </w:rPr>
              <w:t>工程质量管理体系及保证措施</w:t>
            </w:r>
          </w:p>
        </w:tc>
        <w:tc>
          <w:tcPr>
            <w:tcW w:type="dxa" w:w="2492"/>
          </w:tcPr>
          <w:p>
            <w:pPr>
              <w:pStyle w:val="null3"/>
            </w:pPr>
            <w:r>
              <w:rPr>
                <w:rFonts w:ascii="仿宋_GB2312" w:hAnsi="仿宋_GB2312" w:cs="仿宋_GB2312" w:eastAsia="仿宋_GB2312"/>
              </w:rPr>
              <w:t>a. 工程质量管理体系及保证措施编制科学合理、完整详尽、全面符合技术规范、质量标准得8.8-10分； b. 工程质量管理体系及保证措施编制科学较合理、较详尽、较符合技术规范、质量标准得7.4-8.7分； c. 工程质量管理体系及保证措施编制科学合理、基本符合技术规范、质量标准得6-7.3分；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技术投标方案.docx</w:t>
            </w:r>
          </w:p>
        </w:tc>
      </w:tr>
      <w:tr>
        <w:tc>
          <w:tcPr>
            <w:tcW w:type="dxa" w:w="831"/>
            <w:vMerge/>
          </w:tcPr>
          <w:p/>
        </w:tc>
        <w:tc>
          <w:tcPr>
            <w:tcW w:type="dxa" w:w="1661"/>
          </w:tcPr>
          <w:p>
            <w:pPr>
              <w:pStyle w:val="null3"/>
            </w:pPr>
            <w:r>
              <w:rPr>
                <w:rFonts w:ascii="仿宋_GB2312" w:hAnsi="仿宋_GB2312" w:cs="仿宋_GB2312" w:eastAsia="仿宋_GB2312"/>
              </w:rPr>
              <w:t>安全生产管理体系及保证措施</w:t>
            </w:r>
          </w:p>
        </w:tc>
        <w:tc>
          <w:tcPr>
            <w:tcW w:type="dxa" w:w="2492"/>
          </w:tcPr>
          <w:p>
            <w:pPr>
              <w:pStyle w:val="null3"/>
            </w:pPr>
            <w:r>
              <w:rPr>
                <w:rFonts w:ascii="仿宋_GB2312" w:hAnsi="仿宋_GB2312" w:cs="仿宋_GB2312" w:eastAsia="仿宋_GB2312"/>
              </w:rPr>
              <w:t>a. 安全生产管理体系及保证措施合理、可行性强，得8.8-10分； b. 安全生产管理体系及保证措施较合理，可行性较强，得7.4-8.7分； c. 安全生产管理体系及保证措施基本合理，具有一定的可行性，得6-7.3分。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技术投标方案.docx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a.措施合理、可行性强，得8.8-10分； b.措施较合理，可行性较强，得7.4-8.7分； c.措施基本合理，具备一定可行性的，得6.-7.3分。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1.上限为采购预算价，即报价大于上限价视为无效报价; 2.以满足本次磋商文件要求的最低报价为评审基准价，其价格为满分: 3.磋商供应商报价得分=(评审基准价/投标报价)X30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详见附件：项目管理机构组成表.docx</w:t>
      </w:r>
    </w:p>
    <w:p>
      <w:pPr>
        <w:pStyle w:val="null3"/>
        <w:ind w:firstLine="960"/>
      </w:pPr>
      <w:r>
        <w:rPr>
          <w:rFonts w:ascii="仿宋_GB2312" w:hAnsi="仿宋_GB2312" w:cs="仿宋_GB2312" w:eastAsia="仿宋_GB2312"/>
        </w:rPr>
        <w:t>详见附件：技术投标方案.docx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