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096D4">
      <w:pPr>
        <w:spacing w:line="480" w:lineRule="exact"/>
        <w:jc w:val="center"/>
        <w:outlineLvl w:val="0"/>
        <w:rPr>
          <w:rFonts w:hint="eastAsia" w:ascii="仿宋" w:hAnsi="仿宋" w:eastAsia="仿宋" w:cs="仿宋"/>
          <w:b/>
          <w:color w:val="0D0D0D" w:themeColor="text1" w:themeTint="F2"/>
          <w:sz w:val="32"/>
          <w:szCs w:val="32"/>
          <w14:textFill>
            <w14:solidFill>
              <w14:schemeClr w14:val="tx1">
                <w14:lumMod w14:val="95000"/>
                <w14:lumOff w14:val="5000"/>
              </w14:schemeClr>
            </w14:solidFill>
          </w14:textFill>
        </w:rPr>
      </w:pPr>
      <w:r>
        <w:rPr>
          <w:rFonts w:hint="eastAsia" w:ascii="仿宋" w:hAnsi="仿宋" w:eastAsia="仿宋" w:cs="仿宋"/>
          <w:b/>
          <w:color w:val="0D0D0D" w:themeColor="text1" w:themeTint="F2"/>
          <w:sz w:val="32"/>
          <w:szCs w:val="32"/>
          <w14:textFill>
            <w14:solidFill>
              <w14:schemeClr w14:val="tx1">
                <w14:lumMod w14:val="95000"/>
                <w14:lumOff w14:val="5000"/>
              </w14:schemeClr>
            </w14:solidFill>
          </w14:textFill>
        </w:rPr>
        <w:t>合同条款及格式</w:t>
      </w:r>
    </w:p>
    <w:p w14:paraId="15061EC8">
      <w:pPr>
        <w:pStyle w:val="8"/>
        <w:numPr>
          <w:ilvl w:val="0"/>
          <w:numId w:val="1"/>
        </w:numPr>
        <w:autoSpaceDE/>
        <w:autoSpaceDN/>
        <w:spacing w:line="600" w:lineRule="exact"/>
        <w:jc w:val="center"/>
        <w:rPr>
          <w:rFonts w:hint="eastAsia" w:ascii="仿宋" w:hAnsi="仿宋" w:eastAsia="仿宋" w:cs="仿宋"/>
          <w:b/>
          <w:color w:val="0D0D0D" w:themeColor="text1" w:themeTint="F2"/>
          <w:sz w:val="24"/>
          <w:szCs w:val="52"/>
          <w14:textFill>
            <w14:solidFill>
              <w14:schemeClr w14:val="tx1">
                <w14:lumMod w14:val="95000"/>
                <w14:lumOff w14:val="5000"/>
              </w14:schemeClr>
            </w14:solidFill>
          </w14:textFill>
        </w:rPr>
      </w:pPr>
      <w:r>
        <w:rPr>
          <w:rFonts w:hint="eastAsia" w:ascii="仿宋" w:hAnsi="仿宋" w:eastAsia="仿宋" w:cs="仿宋"/>
          <w:b/>
          <w:color w:val="0D0D0D" w:themeColor="text1" w:themeTint="F2"/>
          <w:sz w:val="24"/>
          <w:szCs w:val="52"/>
          <w14:textFill>
            <w14:solidFill>
              <w14:schemeClr w14:val="tx1">
                <w14:lumMod w14:val="95000"/>
                <w14:lumOff w14:val="5000"/>
              </w14:schemeClr>
            </w14:solidFill>
          </w14:textFill>
        </w:rPr>
        <w:t>通用合同条款</w:t>
      </w:r>
    </w:p>
    <w:p w14:paraId="3D58C07F">
      <w:pPr>
        <w:pStyle w:val="9"/>
        <w:tabs>
          <w:tab w:val="left" w:pos="1307"/>
        </w:tabs>
        <w:spacing w:line="360" w:lineRule="auto"/>
        <w:ind w:left="0" w:right="384" w:firstLine="438" w:firstLineChars="200"/>
        <w:rPr>
          <w:rFonts w:hint="eastAsia" w:ascii="仿宋" w:hAnsi="仿宋" w:eastAsia="仿宋" w:cs="仿宋"/>
          <w:b/>
          <w:color w:val="0D0D0D" w:themeColor="text1" w:themeTint="F2"/>
          <w:spacing w:val="-1"/>
          <w:szCs w:val="24"/>
          <w14:textFill>
            <w14:solidFill>
              <w14:schemeClr w14:val="tx1">
                <w14:lumMod w14:val="95000"/>
                <w14:lumOff w14:val="5000"/>
              </w14:schemeClr>
            </w14:solidFill>
          </w14:textFill>
        </w:rPr>
      </w:pPr>
      <w:r>
        <w:rPr>
          <w:rFonts w:hint="eastAsia" w:ascii="仿宋" w:hAnsi="仿宋" w:eastAsia="仿宋" w:cs="仿宋"/>
          <w:b/>
          <w:color w:val="0D0D0D" w:themeColor="text1" w:themeTint="F2"/>
          <w:spacing w:val="-1"/>
          <w:szCs w:val="24"/>
          <w14:textFill>
            <w14:solidFill>
              <w14:schemeClr w14:val="tx1">
                <w14:lumMod w14:val="95000"/>
                <w14:lumOff w14:val="5000"/>
              </w14:schemeClr>
            </w14:solidFill>
          </w14:textFill>
        </w:rPr>
        <w:t>“通用合同条款”采用《公路工程标准施工招标文件》（2018年版·第一册）的“通用合同条款”</w:t>
      </w:r>
    </w:p>
    <w:p w14:paraId="3E9A8A8E">
      <w:pPr>
        <w:pStyle w:val="9"/>
        <w:widowControl w:val="0"/>
        <w:tabs>
          <w:tab w:val="left" w:pos="1901"/>
        </w:tabs>
        <w:autoSpaceDE w:val="0"/>
        <w:autoSpaceDN w:val="0"/>
        <w:spacing w:after="0"/>
        <w:ind w:left="0" w:firstLine="442" w:firstLineChars="200"/>
        <w:jc w:val="center"/>
        <w:rPr>
          <w:rFonts w:hint="eastAsia" w:ascii="仿宋" w:hAnsi="仿宋" w:eastAsia="仿宋" w:cs="仿宋"/>
          <w:b/>
          <w:color w:val="0D0D0D" w:themeColor="text1" w:themeTint="F2"/>
          <w:szCs w:val="24"/>
          <w14:textFill>
            <w14:solidFill>
              <w14:schemeClr w14:val="tx1">
                <w14:lumMod w14:val="95000"/>
                <w14:lumOff w14:val="5000"/>
              </w14:schemeClr>
            </w14:solidFill>
          </w14:textFill>
        </w:rPr>
      </w:pPr>
      <w:r>
        <w:rPr>
          <w:rFonts w:hint="eastAsia" w:ascii="仿宋" w:hAnsi="仿宋" w:eastAsia="仿宋" w:cs="仿宋"/>
          <w:b/>
          <w:color w:val="0D0D0D" w:themeColor="text1" w:themeTint="F2"/>
          <w:szCs w:val="24"/>
          <w14:textFill>
            <w14:solidFill>
              <w14:schemeClr w14:val="tx1">
                <w14:lumMod w14:val="95000"/>
                <w14:lumOff w14:val="5000"/>
              </w14:schemeClr>
            </w14:solidFill>
          </w14:textFill>
        </w:rPr>
        <w:t xml:space="preserve">第二节 </w:t>
      </w:r>
      <w:bookmarkStart w:id="0" w:name="_Toc139464384"/>
      <w:bookmarkStart w:id="1" w:name="_Toc139463619"/>
      <w:bookmarkStart w:id="2" w:name="_Toc139462820"/>
      <w:bookmarkStart w:id="3" w:name="_Toc120443079"/>
      <w:r>
        <w:rPr>
          <w:rFonts w:hint="eastAsia" w:ascii="仿宋" w:hAnsi="仿宋" w:eastAsia="仿宋" w:cs="仿宋"/>
          <w:b/>
          <w:color w:val="0D0D0D" w:themeColor="text1" w:themeTint="F2"/>
          <w:szCs w:val="24"/>
          <w14:textFill>
            <w14:solidFill>
              <w14:schemeClr w14:val="tx1">
                <w14:lumMod w14:val="95000"/>
                <w14:lumOff w14:val="5000"/>
              </w14:schemeClr>
            </w14:solidFill>
          </w14:textFill>
        </w:rPr>
        <w:t>项目专用合同条款数据表</w:t>
      </w:r>
      <w:bookmarkEnd w:id="0"/>
      <w:bookmarkEnd w:id="1"/>
      <w:bookmarkEnd w:id="2"/>
      <w:bookmarkEnd w:id="3"/>
    </w:p>
    <w:p w14:paraId="726F7749">
      <w:pPr>
        <w:pStyle w:val="9"/>
        <w:widowControl w:val="0"/>
        <w:tabs>
          <w:tab w:val="left" w:pos="1901"/>
        </w:tabs>
        <w:autoSpaceDE w:val="0"/>
        <w:autoSpaceDN w:val="0"/>
        <w:spacing w:after="0"/>
        <w:ind w:left="0" w:firstLine="440" w:firstLineChars="200"/>
        <w:rPr>
          <w:rFonts w:hint="eastAsia" w:ascii="仿宋" w:hAnsi="仿宋" w:eastAsia="仿宋" w:cs="仿宋"/>
          <w:color w:val="0D0D0D" w:themeColor="text1" w:themeTint="F2"/>
          <w:szCs w:val="24"/>
          <w14:textFill>
            <w14:solidFill>
              <w14:schemeClr w14:val="tx1">
                <w14:lumMod w14:val="95000"/>
                <w14:lumOff w14:val="5000"/>
              </w14:schemeClr>
            </w14:solidFill>
          </w14:textFill>
        </w:rPr>
      </w:pPr>
      <w:r>
        <w:rPr>
          <w:rFonts w:hint="eastAsia" w:ascii="仿宋" w:hAnsi="仿宋" w:eastAsia="仿宋" w:cs="仿宋"/>
          <w:color w:val="0D0D0D" w:themeColor="text1" w:themeTint="F2"/>
          <w:szCs w:val="24"/>
          <w14:textFill>
            <w14:solidFill>
              <w14:schemeClr w14:val="tx1">
                <w14:lumMod w14:val="95000"/>
                <w14:lumOff w14:val="5000"/>
              </w14:schemeClr>
            </w14:solidFill>
          </w14:textFill>
        </w:rPr>
        <w:t>说明：本数据表是项目专用合同条款中适用于本项目的信息和数据的归纳与提示，是项目专用合同条款的组成部分。</w:t>
      </w:r>
    </w:p>
    <w:tbl>
      <w:tblPr>
        <w:tblStyle w:val="6"/>
        <w:tblW w:w="985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565"/>
        <w:gridCol w:w="7475"/>
      </w:tblGrid>
      <w:tr w14:paraId="4B7E93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811" w:type="dxa"/>
            <w:tcBorders>
              <w:tl2br w:val="nil"/>
              <w:tr2bl w:val="nil"/>
            </w:tcBorders>
            <w:vAlign w:val="center"/>
          </w:tcPr>
          <w:p w14:paraId="5CF39CDE">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序号</w:t>
            </w:r>
          </w:p>
        </w:tc>
        <w:tc>
          <w:tcPr>
            <w:tcW w:w="1565" w:type="dxa"/>
            <w:tcBorders>
              <w:tl2br w:val="nil"/>
              <w:tr2bl w:val="nil"/>
            </w:tcBorders>
            <w:vAlign w:val="center"/>
          </w:tcPr>
          <w:p w14:paraId="314A3C21">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条目号</w:t>
            </w:r>
          </w:p>
        </w:tc>
        <w:tc>
          <w:tcPr>
            <w:tcW w:w="7475" w:type="dxa"/>
            <w:tcBorders>
              <w:tl2br w:val="nil"/>
              <w:tr2bl w:val="nil"/>
            </w:tcBorders>
            <w:vAlign w:val="center"/>
          </w:tcPr>
          <w:p w14:paraId="29777E94">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信息或数据</w:t>
            </w:r>
          </w:p>
        </w:tc>
      </w:tr>
      <w:tr w14:paraId="33D404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811" w:type="dxa"/>
            <w:tcBorders>
              <w:tl2br w:val="nil"/>
              <w:tr2bl w:val="nil"/>
            </w:tcBorders>
            <w:vAlign w:val="center"/>
          </w:tcPr>
          <w:p w14:paraId="57E267A8">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w:t>
            </w:r>
          </w:p>
        </w:tc>
        <w:tc>
          <w:tcPr>
            <w:tcW w:w="1565" w:type="dxa"/>
            <w:tcBorders>
              <w:tl2br w:val="nil"/>
              <w:tr2bl w:val="nil"/>
            </w:tcBorders>
            <w:vAlign w:val="center"/>
          </w:tcPr>
          <w:p w14:paraId="7FE4E723">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1.1.2.2</w:t>
            </w:r>
          </w:p>
        </w:tc>
        <w:tc>
          <w:tcPr>
            <w:tcW w:w="7475" w:type="dxa"/>
            <w:tcBorders>
              <w:tl2br w:val="nil"/>
              <w:tr2bl w:val="nil"/>
            </w:tcBorders>
          </w:tcPr>
          <w:p w14:paraId="7A1E8853">
            <w:pPr>
              <w:pStyle w:val="10"/>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仿宋" w:hAnsi="仿宋" w:eastAsia="仿宋" w:cs="仿宋"/>
                <w:color w:val="0D0D0D" w:themeColor="text1" w:themeTint="F2"/>
                <w:sz w:val="28"/>
                <w:lang w:eastAsia="zh-CN"/>
                <w14:textFill>
                  <w14:solidFill>
                    <w14:schemeClr w14:val="tx1">
                      <w14:lumMod w14:val="95000"/>
                      <w14:lumOff w14:val="5000"/>
                    </w14:schemeClr>
                  </w14:solidFill>
                </w14:textFill>
              </w:rPr>
            </w:pPr>
            <w:r>
              <w:rPr>
                <w:rFonts w:hint="eastAsia" w:ascii="仿宋" w:hAnsi="仿宋" w:eastAsia="仿宋" w:cs="仿宋"/>
                <w:color w:val="0D0D0D" w:themeColor="text1" w:themeTint="F2"/>
                <w14:textFill>
                  <w14:solidFill>
                    <w14:schemeClr w14:val="tx1">
                      <w14:lumMod w14:val="95000"/>
                      <w14:lumOff w14:val="5000"/>
                    </w14:schemeClr>
                  </w14:solidFill>
                </w14:textFill>
              </w:rPr>
              <w:t>发 包 人 ：</w:t>
            </w:r>
            <w:r>
              <w:rPr>
                <w:rFonts w:hint="eastAsia" w:ascii="仿宋" w:hAnsi="仿宋" w:eastAsia="仿宋" w:cs="仿宋"/>
                <w:color w:val="0D0D0D" w:themeColor="text1" w:themeTint="F2"/>
                <w:lang w:val="en-US" w:eastAsia="zh-CN"/>
                <w14:textFill>
                  <w14:solidFill>
                    <w14:schemeClr w14:val="tx1">
                      <w14:lumMod w14:val="95000"/>
                      <w14:lumOff w14:val="5000"/>
                    </w14:schemeClr>
                  </w14:solidFill>
                </w14:textFill>
              </w:rPr>
              <w:t>佛坪县交通运输局</w:t>
            </w:r>
          </w:p>
          <w:p w14:paraId="0283E69A">
            <w:pPr>
              <w:pStyle w:val="10"/>
              <w:keepNext w:val="0"/>
              <w:keepLines w:val="0"/>
              <w:pageBreakBefore w:val="0"/>
              <w:widowControl w:val="0"/>
              <w:tabs>
                <w:tab w:val="left" w:pos="979"/>
                <w:tab w:val="left" w:pos="3394"/>
              </w:tabs>
              <w:kinsoku/>
              <w:wordWrap/>
              <w:overflowPunct/>
              <w:topLinePunct w:val="0"/>
              <w:autoSpaceDE w:val="0"/>
              <w:autoSpaceDN w:val="0"/>
              <w:bidi w:val="0"/>
              <w:adjustRightInd w:val="0"/>
              <w:snapToGrid w:val="0"/>
              <w:spacing w:line="240" w:lineRule="auto"/>
              <w:textAlignment w:val="auto"/>
              <w:rPr>
                <w:rFonts w:hint="eastAsia" w:ascii="仿宋" w:hAnsi="仿宋" w:eastAsia="仿宋" w:cs="仿宋"/>
                <w:color w:val="0D0D0D" w:themeColor="text1" w:themeTint="F2"/>
                <w14:textFill>
                  <w14:solidFill>
                    <w14:schemeClr w14:val="tx1">
                      <w14:lumMod w14:val="95000"/>
                      <w14:lumOff w14:val="5000"/>
                    </w14:schemeClr>
                  </w14:solidFill>
                </w14:textFill>
              </w:rPr>
            </w:pPr>
            <w:r>
              <w:rPr>
                <w:rFonts w:hint="eastAsia" w:ascii="仿宋" w:hAnsi="仿宋" w:eastAsia="仿宋" w:cs="仿宋"/>
                <w:color w:val="0D0D0D" w:themeColor="text1" w:themeTint="F2"/>
                <w14:textFill>
                  <w14:solidFill>
                    <w14:schemeClr w14:val="tx1">
                      <w14:lumMod w14:val="95000"/>
                      <w14:lumOff w14:val="5000"/>
                    </w14:schemeClr>
                  </w14:solidFill>
                </w14:textFill>
              </w:rPr>
              <w:t>地    址</w:t>
            </w:r>
            <w:r>
              <w:rPr>
                <w:rFonts w:hint="eastAsia" w:ascii="仿宋" w:hAnsi="仿宋" w:eastAsia="仿宋" w:cs="仿宋"/>
                <w:color w:val="0D0D0D" w:themeColor="text1" w:themeTint="F2"/>
                <w:lang w:val="en-US" w:eastAsia="zh-CN"/>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14:textFill>
                  <w14:solidFill>
                    <w14:schemeClr w14:val="tx1">
                      <w14:lumMod w14:val="95000"/>
                      <w14:lumOff w14:val="5000"/>
                    </w14:schemeClr>
                  </w14:solidFill>
                </w14:textFill>
              </w:rPr>
              <w:t>：佛坪县河堤街4号</w:t>
            </w:r>
          </w:p>
          <w:p w14:paraId="745297A0">
            <w:pPr>
              <w:pStyle w:val="10"/>
              <w:keepNext w:val="0"/>
              <w:keepLines w:val="0"/>
              <w:pageBreakBefore w:val="0"/>
              <w:widowControl w:val="0"/>
              <w:tabs>
                <w:tab w:val="left" w:pos="979"/>
                <w:tab w:val="left" w:pos="3394"/>
              </w:tabs>
              <w:kinsoku/>
              <w:wordWrap/>
              <w:overflowPunct/>
              <w:topLinePunct w:val="0"/>
              <w:autoSpaceDE w:val="0"/>
              <w:autoSpaceDN w:val="0"/>
              <w:bidi w:val="0"/>
              <w:adjustRightInd w:val="0"/>
              <w:snapToGrid w:val="0"/>
              <w:spacing w:line="240" w:lineRule="auto"/>
              <w:textAlignment w:val="auto"/>
              <w:rPr>
                <w:rFonts w:hint="eastAsia" w:ascii="仿宋" w:hAnsi="仿宋" w:eastAsia="仿宋" w:cs="仿宋"/>
                <w:color w:val="0D0D0D" w:themeColor="text1" w:themeTint="F2"/>
                <w:lang w:val="en-US" w:eastAsia="zh-CN"/>
                <w14:textFill>
                  <w14:solidFill>
                    <w14:schemeClr w14:val="tx1">
                      <w14:lumMod w14:val="95000"/>
                      <w14:lumOff w14:val="5000"/>
                    </w14:schemeClr>
                  </w14:solidFill>
                </w14:textFill>
              </w:rPr>
            </w:pPr>
            <w:r>
              <w:rPr>
                <w:rFonts w:hint="eastAsia" w:ascii="仿宋" w:hAnsi="仿宋" w:eastAsia="仿宋" w:cs="仿宋"/>
                <w:color w:val="0D0D0D" w:themeColor="text1" w:themeTint="F2"/>
                <w14:textFill>
                  <w14:solidFill>
                    <w14:schemeClr w14:val="tx1">
                      <w14:lumMod w14:val="95000"/>
                      <w14:lumOff w14:val="5000"/>
                    </w14:schemeClr>
                  </w14:solidFill>
                </w14:textFill>
              </w:rPr>
              <w:t>邮政编码：</w:t>
            </w:r>
            <w:r>
              <w:rPr>
                <w:rFonts w:hint="eastAsia" w:ascii="仿宋" w:hAnsi="仿宋" w:eastAsia="仿宋" w:cs="仿宋"/>
                <w:color w:val="0D0D0D" w:themeColor="text1" w:themeTint="F2"/>
                <w:lang w:val="en-US" w:eastAsia="zh-CN"/>
                <w14:textFill>
                  <w14:solidFill>
                    <w14:schemeClr w14:val="tx1">
                      <w14:lumMod w14:val="95000"/>
                      <w14:lumOff w14:val="5000"/>
                    </w14:schemeClr>
                  </w14:solidFill>
                </w14:textFill>
              </w:rPr>
              <w:t>723613</w:t>
            </w:r>
          </w:p>
        </w:tc>
      </w:tr>
      <w:tr w14:paraId="469804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11" w:type="dxa"/>
            <w:tcBorders>
              <w:tl2br w:val="nil"/>
              <w:tr2bl w:val="nil"/>
            </w:tcBorders>
            <w:vAlign w:val="center"/>
          </w:tcPr>
          <w:p w14:paraId="66D7B622">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w:t>
            </w:r>
          </w:p>
        </w:tc>
        <w:tc>
          <w:tcPr>
            <w:tcW w:w="1565" w:type="dxa"/>
            <w:tcBorders>
              <w:tl2br w:val="nil"/>
              <w:tr2bl w:val="nil"/>
            </w:tcBorders>
            <w:vAlign w:val="center"/>
          </w:tcPr>
          <w:p w14:paraId="6A99C10F">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1.1.2.6</w:t>
            </w:r>
          </w:p>
        </w:tc>
        <w:tc>
          <w:tcPr>
            <w:tcW w:w="7475" w:type="dxa"/>
            <w:tcBorders>
              <w:tl2br w:val="nil"/>
              <w:tr2bl w:val="nil"/>
            </w:tcBorders>
            <w:vAlign w:val="center"/>
          </w:tcPr>
          <w:p w14:paraId="38CF69D0">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监 理 人：由发包人以书面形式通知承包人。</w:t>
            </w:r>
          </w:p>
        </w:tc>
      </w:tr>
      <w:tr w14:paraId="161ADB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811" w:type="dxa"/>
            <w:tcBorders>
              <w:tl2br w:val="nil"/>
              <w:tr2bl w:val="nil"/>
            </w:tcBorders>
            <w:vAlign w:val="center"/>
          </w:tcPr>
          <w:p w14:paraId="421F521A">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3</w:t>
            </w:r>
          </w:p>
        </w:tc>
        <w:tc>
          <w:tcPr>
            <w:tcW w:w="1565" w:type="dxa"/>
            <w:tcBorders>
              <w:tl2br w:val="nil"/>
              <w:tr2bl w:val="nil"/>
            </w:tcBorders>
            <w:vAlign w:val="center"/>
          </w:tcPr>
          <w:p w14:paraId="546BAA44">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1.1.4.5</w:t>
            </w:r>
          </w:p>
        </w:tc>
        <w:tc>
          <w:tcPr>
            <w:tcW w:w="7475" w:type="dxa"/>
            <w:tcBorders>
              <w:tl2br w:val="nil"/>
              <w:tr2bl w:val="nil"/>
            </w:tcBorders>
            <w:vAlign w:val="center"/>
          </w:tcPr>
          <w:p w14:paraId="12D12DC2">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szCs w:val="22"/>
                <w14:textFill>
                  <w14:solidFill>
                    <w14:schemeClr w14:val="tx1">
                      <w14:lumMod w14:val="95000"/>
                      <w14:lumOff w14:val="5000"/>
                    </w14:schemeClr>
                  </w14:solidFill>
                </w14:textFill>
              </w:rPr>
              <w:t>缺陷责任期：缺陷责任期：</w:t>
            </w:r>
            <w:r>
              <w:rPr>
                <w:rFonts w:hint="eastAsia" w:ascii="仿宋" w:hAnsi="仿宋" w:eastAsia="仿宋" w:cs="仿宋"/>
                <w:color w:val="000000" w:themeColor="text1"/>
                <w:spacing w:val="-3"/>
                <w:sz w:val="22"/>
                <w:szCs w:val="22"/>
                <w:highlight w:val="none"/>
                <w14:textFill>
                  <w14:solidFill>
                    <w14:schemeClr w14:val="tx1"/>
                  </w14:solidFill>
                </w14:textFill>
              </w:rPr>
              <w:t>自</w:t>
            </w:r>
            <w:r>
              <w:rPr>
                <w:rFonts w:hint="eastAsia" w:ascii="仿宋" w:hAnsi="仿宋" w:eastAsia="仿宋" w:cs="仿宋"/>
                <w:color w:val="000000" w:themeColor="text1"/>
                <w:sz w:val="22"/>
                <w:szCs w:val="22"/>
                <w:highlight w:val="none"/>
                <w14:textFill>
                  <w14:solidFill>
                    <w14:schemeClr w14:val="tx1"/>
                  </w14:solidFill>
                </w14:textFill>
              </w:rPr>
              <w:t>实</w:t>
            </w:r>
            <w:r>
              <w:rPr>
                <w:rFonts w:hint="eastAsia" w:ascii="仿宋" w:hAnsi="仿宋" w:eastAsia="仿宋" w:cs="仿宋"/>
                <w:color w:val="000000" w:themeColor="text1"/>
                <w:spacing w:val="-3"/>
                <w:sz w:val="22"/>
                <w:szCs w:val="22"/>
                <w:highlight w:val="none"/>
                <w14:textFill>
                  <w14:solidFill>
                    <w14:schemeClr w14:val="tx1"/>
                  </w14:solidFill>
                </w14:textFill>
              </w:rPr>
              <w:t>际</w:t>
            </w:r>
            <w:r>
              <w:rPr>
                <w:rFonts w:hint="eastAsia" w:ascii="仿宋" w:hAnsi="仿宋" w:eastAsia="仿宋" w:cs="仿宋"/>
                <w:color w:val="000000" w:themeColor="text1"/>
                <w:sz w:val="22"/>
                <w:szCs w:val="22"/>
                <w:highlight w:val="none"/>
                <w14:textFill>
                  <w14:solidFill>
                    <w14:schemeClr w14:val="tx1"/>
                  </w14:solidFill>
                </w14:textFill>
              </w:rPr>
              <w:t>交</w:t>
            </w:r>
            <w:r>
              <w:rPr>
                <w:rFonts w:hint="eastAsia" w:ascii="仿宋" w:hAnsi="仿宋" w:eastAsia="仿宋" w:cs="仿宋"/>
                <w:color w:val="000000" w:themeColor="text1"/>
                <w:spacing w:val="-3"/>
                <w:sz w:val="22"/>
                <w:szCs w:val="22"/>
                <w:highlight w:val="none"/>
                <w14:textFill>
                  <w14:solidFill>
                    <w14:schemeClr w14:val="tx1"/>
                  </w14:solidFill>
                </w14:textFill>
              </w:rPr>
              <w:t>工</w:t>
            </w:r>
            <w:r>
              <w:rPr>
                <w:rFonts w:hint="eastAsia" w:ascii="仿宋" w:hAnsi="仿宋" w:eastAsia="仿宋" w:cs="仿宋"/>
                <w:color w:val="000000" w:themeColor="text1"/>
                <w:sz w:val="22"/>
                <w:szCs w:val="22"/>
                <w:highlight w:val="none"/>
                <w14:textFill>
                  <w14:solidFill>
                    <w14:schemeClr w14:val="tx1"/>
                  </w14:solidFill>
                </w14:textFill>
              </w:rPr>
              <w:t>日期</w:t>
            </w:r>
            <w:r>
              <w:rPr>
                <w:rFonts w:hint="eastAsia" w:ascii="仿宋" w:hAnsi="仿宋" w:eastAsia="仿宋" w:cs="仿宋"/>
                <w:color w:val="000000" w:themeColor="text1"/>
                <w:spacing w:val="-3"/>
                <w:sz w:val="22"/>
                <w:szCs w:val="22"/>
                <w:highlight w:val="none"/>
                <w14:textFill>
                  <w14:solidFill>
                    <w14:schemeClr w14:val="tx1"/>
                  </w14:solidFill>
                </w14:textFill>
              </w:rPr>
              <w:t>起</w:t>
            </w:r>
            <w:r>
              <w:rPr>
                <w:rFonts w:hint="eastAsia" w:ascii="仿宋" w:hAnsi="仿宋" w:eastAsia="仿宋" w:cs="仿宋"/>
                <w:color w:val="000000" w:themeColor="text1"/>
                <w:sz w:val="22"/>
                <w:szCs w:val="22"/>
                <w:highlight w:val="none"/>
                <w14:textFill>
                  <w14:solidFill>
                    <w14:schemeClr w14:val="tx1"/>
                  </w14:solidFill>
                </w14:textFill>
              </w:rPr>
              <w:t>计</w:t>
            </w:r>
            <w:r>
              <w:rPr>
                <w:rFonts w:hint="eastAsia" w:ascii="仿宋" w:hAnsi="仿宋" w:eastAsia="仿宋" w:cs="仿宋"/>
                <w:color w:val="000000" w:themeColor="text1"/>
                <w:spacing w:val="-3"/>
                <w:sz w:val="22"/>
                <w:szCs w:val="22"/>
                <w:highlight w:val="none"/>
                <w14:textFill>
                  <w14:solidFill>
                    <w14:schemeClr w14:val="tx1"/>
                  </w14:solidFill>
                </w14:textFill>
              </w:rPr>
              <w:t>算</w:t>
            </w:r>
            <w:r>
              <w:rPr>
                <w:rFonts w:hint="eastAsia" w:ascii="仿宋" w:hAnsi="仿宋" w:eastAsia="仿宋" w:cs="仿宋"/>
                <w:color w:val="000000" w:themeColor="text1"/>
                <w:spacing w:val="-3"/>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pacing w:val="-3"/>
                <w:sz w:val="22"/>
                <w:szCs w:val="22"/>
                <w:highlight w:val="none"/>
                <w:u w:val="single"/>
                <w:lang w:val="en-US" w:eastAsia="zh-CN"/>
                <w14:textFill>
                  <w14:solidFill>
                    <w14:schemeClr w14:val="tx1"/>
                  </w14:solidFill>
                </w14:textFill>
              </w:rPr>
              <w:t xml:space="preserve">2 </w:t>
            </w:r>
            <w:r>
              <w:rPr>
                <w:rFonts w:hint="eastAsia" w:ascii="仿宋" w:hAnsi="仿宋" w:eastAsia="仿宋" w:cs="仿宋"/>
                <w:color w:val="000000" w:themeColor="text1"/>
                <w:spacing w:val="-3"/>
                <w:sz w:val="22"/>
                <w:szCs w:val="22"/>
                <w:highlight w:val="none"/>
                <w14:textFill>
                  <w14:solidFill>
                    <w14:schemeClr w14:val="tx1"/>
                  </w14:solidFill>
                </w14:textFill>
              </w:rPr>
              <w:t>年</w:t>
            </w:r>
            <w:r>
              <w:rPr>
                <w:rFonts w:hint="eastAsia" w:ascii="仿宋" w:hAnsi="仿宋" w:eastAsia="仿宋" w:cs="仿宋"/>
                <w:color w:val="0D0D0D" w:themeColor="text1" w:themeTint="F2"/>
                <w:sz w:val="22"/>
                <w:szCs w:val="22"/>
                <w14:textFill>
                  <w14:solidFill>
                    <w14:schemeClr w14:val="tx1">
                      <w14:lumMod w14:val="95000"/>
                      <w14:lumOff w14:val="5000"/>
                    </w14:schemeClr>
                  </w14:solidFill>
                </w14:textFill>
              </w:rPr>
              <w:t>。</w:t>
            </w:r>
          </w:p>
        </w:tc>
      </w:tr>
      <w:tr w14:paraId="7BC20E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7F9E44DF">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4</w:t>
            </w:r>
          </w:p>
        </w:tc>
        <w:tc>
          <w:tcPr>
            <w:tcW w:w="1565" w:type="dxa"/>
            <w:tcBorders>
              <w:tl2br w:val="nil"/>
              <w:tr2bl w:val="nil"/>
            </w:tcBorders>
            <w:vAlign w:val="center"/>
          </w:tcPr>
          <w:p w14:paraId="3AA567CD">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1.6.3</w:t>
            </w:r>
          </w:p>
        </w:tc>
        <w:tc>
          <w:tcPr>
            <w:tcW w:w="7475" w:type="dxa"/>
            <w:tcBorders>
              <w:tl2br w:val="nil"/>
              <w:tr2bl w:val="nil"/>
            </w:tcBorders>
            <w:vAlign w:val="center"/>
          </w:tcPr>
          <w:p w14:paraId="0884A6C5">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图纸需要修改和补充的，应由监理人取得发包人同意后，在该项工程或工程相应部位施工前</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 xml:space="preserve"> 7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天签发图纸修改图给承包人。</w:t>
            </w:r>
          </w:p>
        </w:tc>
      </w:tr>
      <w:tr w14:paraId="3B97FD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11" w:type="dxa"/>
            <w:tcBorders>
              <w:tl2br w:val="nil"/>
              <w:tr2bl w:val="nil"/>
            </w:tcBorders>
            <w:vAlign w:val="center"/>
          </w:tcPr>
          <w:p w14:paraId="012352CD">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5</w:t>
            </w:r>
          </w:p>
        </w:tc>
        <w:tc>
          <w:tcPr>
            <w:tcW w:w="1565" w:type="dxa"/>
            <w:tcBorders>
              <w:tl2br w:val="nil"/>
              <w:tr2bl w:val="nil"/>
            </w:tcBorders>
            <w:vAlign w:val="center"/>
          </w:tcPr>
          <w:p w14:paraId="6D168FF7">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3.1.1</w:t>
            </w:r>
          </w:p>
        </w:tc>
        <w:tc>
          <w:tcPr>
            <w:tcW w:w="7475" w:type="dxa"/>
            <w:tcBorders>
              <w:tl2br w:val="nil"/>
              <w:tr2bl w:val="nil"/>
            </w:tcBorders>
            <w:vAlign w:val="center"/>
          </w:tcPr>
          <w:p w14:paraId="2B48A641">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0"/>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监理人在行使变更权利前需要经发包人事先批准。</w:t>
            </w:r>
          </w:p>
        </w:tc>
      </w:tr>
      <w:tr w14:paraId="6E2209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811" w:type="dxa"/>
            <w:tcBorders>
              <w:tl2br w:val="nil"/>
              <w:tr2bl w:val="nil"/>
            </w:tcBorders>
            <w:vAlign w:val="center"/>
          </w:tcPr>
          <w:p w14:paraId="64481874">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6</w:t>
            </w:r>
          </w:p>
        </w:tc>
        <w:tc>
          <w:tcPr>
            <w:tcW w:w="1565" w:type="dxa"/>
            <w:tcBorders>
              <w:tl2br w:val="nil"/>
              <w:tr2bl w:val="nil"/>
            </w:tcBorders>
            <w:vAlign w:val="center"/>
          </w:tcPr>
          <w:p w14:paraId="3D4B29BC">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5.2.1</w:t>
            </w:r>
          </w:p>
        </w:tc>
        <w:tc>
          <w:tcPr>
            <w:tcW w:w="7475" w:type="dxa"/>
            <w:tcBorders>
              <w:tl2br w:val="nil"/>
              <w:tr2bl w:val="nil"/>
            </w:tcBorders>
            <w:vAlign w:val="center"/>
          </w:tcPr>
          <w:p w14:paraId="48718F24">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发包人是否提供材料或工程设备：否</w:t>
            </w:r>
          </w:p>
        </w:tc>
      </w:tr>
      <w:tr w14:paraId="5BAD8F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811" w:type="dxa"/>
            <w:tcBorders>
              <w:tl2br w:val="nil"/>
              <w:tr2bl w:val="nil"/>
            </w:tcBorders>
            <w:vAlign w:val="center"/>
          </w:tcPr>
          <w:p w14:paraId="4AFEAFFC">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7</w:t>
            </w:r>
          </w:p>
        </w:tc>
        <w:tc>
          <w:tcPr>
            <w:tcW w:w="1565" w:type="dxa"/>
            <w:tcBorders>
              <w:tl2br w:val="nil"/>
              <w:tr2bl w:val="nil"/>
            </w:tcBorders>
            <w:vAlign w:val="center"/>
          </w:tcPr>
          <w:p w14:paraId="0023B387">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6.2</w:t>
            </w:r>
          </w:p>
        </w:tc>
        <w:tc>
          <w:tcPr>
            <w:tcW w:w="7475" w:type="dxa"/>
            <w:tcBorders>
              <w:tl2br w:val="nil"/>
              <w:tr2bl w:val="nil"/>
            </w:tcBorders>
            <w:vAlign w:val="center"/>
          </w:tcPr>
          <w:p w14:paraId="1AD38154">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发包人是否提供施工设备和临时设施：否</w:t>
            </w:r>
          </w:p>
        </w:tc>
      </w:tr>
      <w:tr w14:paraId="3E96B0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811" w:type="dxa"/>
            <w:tcBorders>
              <w:tl2br w:val="nil"/>
              <w:tr2bl w:val="nil"/>
            </w:tcBorders>
            <w:vAlign w:val="center"/>
          </w:tcPr>
          <w:p w14:paraId="49B043E3">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8</w:t>
            </w:r>
          </w:p>
        </w:tc>
        <w:tc>
          <w:tcPr>
            <w:tcW w:w="1565" w:type="dxa"/>
            <w:tcBorders>
              <w:tl2br w:val="nil"/>
              <w:tr2bl w:val="nil"/>
            </w:tcBorders>
            <w:vAlign w:val="center"/>
          </w:tcPr>
          <w:p w14:paraId="4B108169">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8.1.1</w:t>
            </w:r>
          </w:p>
        </w:tc>
        <w:tc>
          <w:tcPr>
            <w:tcW w:w="7475" w:type="dxa"/>
            <w:tcBorders>
              <w:tl2br w:val="nil"/>
              <w:tr2bl w:val="nil"/>
            </w:tcBorders>
            <w:vAlign w:val="center"/>
          </w:tcPr>
          <w:p w14:paraId="5AC26555">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发包人提供测量基准点、基准先和水准点及其书面资料的期限：</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进场后5日</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w:t>
            </w:r>
          </w:p>
          <w:p w14:paraId="191B9E3A">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承包人将施工控制网资料报送监理人审批的期限：</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进驻工地后5日内</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w:t>
            </w:r>
          </w:p>
        </w:tc>
      </w:tr>
      <w:tr w14:paraId="4185FD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1C1945F8">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9</w:t>
            </w:r>
          </w:p>
        </w:tc>
        <w:tc>
          <w:tcPr>
            <w:tcW w:w="1565" w:type="dxa"/>
            <w:tcBorders>
              <w:tl2br w:val="nil"/>
              <w:tr2bl w:val="nil"/>
            </w:tcBorders>
            <w:vAlign w:val="center"/>
          </w:tcPr>
          <w:p w14:paraId="4B354B0F">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11.5</w:t>
            </w:r>
          </w:p>
        </w:tc>
        <w:tc>
          <w:tcPr>
            <w:tcW w:w="7475" w:type="dxa"/>
            <w:tcBorders>
              <w:tl2br w:val="nil"/>
              <w:tr2bl w:val="nil"/>
            </w:tcBorders>
            <w:vAlign w:val="center"/>
          </w:tcPr>
          <w:p w14:paraId="39B7E314">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逾期交工违约金</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：1000元/天</w:t>
            </w:r>
          </w:p>
        </w:tc>
      </w:tr>
      <w:tr w14:paraId="6D1986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0E909AFF">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10</w:t>
            </w:r>
          </w:p>
        </w:tc>
        <w:tc>
          <w:tcPr>
            <w:tcW w:w="1565" w:type="dxa"/>
            <w:tcBorders>
              <w:tl2br w:val="nil"/>
              <w:tr2bl w:val="nil"/>
            </w:tcBorders>
            <w:vAlign w:val="center"/>
          </w:tcPr>
          <w:p w14:paraId="5BFFF734">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11.5</w:t>
            </w:r>
          </w:p>
        </w:tc>
        <w:tc>
          <w:tcPr>
            <w:tcW w:w="7475" w:type="dxa"/>
            <w:tcBorders>
              <w:tl2br w:val="nil"/>
              <w:tr2bl w:val="nil"/>
            </w:tcBorders>
            <w:vAlign w:val="center"/>
          </w:tcPr>
          <w:p w14:paraId="0D8C53AE">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逾期交工违约金限额： </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10 %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签约合同价</w:t>
            </w:r>
          </w:p>
        </w:tc>
      </w:tr>
      <w:tr w14:paraId="7AB396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4171C000">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11</w:t>
            </w:r>
          </w:p>
        </w:tc>
        <w:tc>
          <w:tcPr>
            <w:tcW w:w="1565" w:type="dxa"/>
            <w:tcBorders>
              <w:tl2br w:val="nil"/>
              <w:tr2bl w:val="nil"/>
            </w:tcBorders>
            <w:vAlign w:val="center"/>
          </w:tcPr>
          <w:p w14:paraId="300675A5">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11.6</w:t>
            </w:r>
          </w:p>
        </w:tc>
        <w:tc>
          <w:tcPr>
            <w:tcW w:w="7475" w:type="dxa"/>
            <w:tcBorders>
              <w:tl2br w:val="nil"/>
              <w:tr2bl w:val="nil"/>
            </w:tcBorders>
            <w:vAlign w:val="center"/>
          </w:tcPr>
          <w:p w14:paraId="4A276EB9">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提前交工的奖金：无</w:t>
            </w:r>
          </w:p>
        </w:tc>
      </w:tr>
      <w:tr w14:paraId="6E040D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25083DA6">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12</w:t>
            </w:r>
          </w:p>
        </w:tc>
        <w:tc>
          <w:tcPr>
            <w:tcW w:w="1565" w:type="dxa"/>
            <w:tcBorders>
              <w:tl2br w:val="nil"/>
              <w:tr2bl w:val="nil"/>
            </w:tcBorders>
            <w:vAlign w:val="center"/>
          </w:tcPr>
          <w:p w14:paraId="5A804AE8">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11.6</w:t>
            </w:r>
          </w:p>
        </w:tc>
        <w:tc>
          <w:tcPr>
            <w:tcW w:w="7475" w:type="dxa"/>
            <w:tcBorders>
              <w:tl2br w:val="nil"/>
              <w:tr2bl w:val="nil"/>
            </w:tcBorders>
            <w:vAlign w:val="center"/>
          </w:tcPr>
          <w:p w14:paraId="06BA028E">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提前交工的奖金限额：</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无</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w:t>
            </w:r>
          </w:p>
        </w:tc>
      </w:tr>
      <w:tr w14:paraId="33C124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2641432A">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13</w:t>
            </w:r>
          </w:p>
        </w:tc>
        <w:tc>
          <w:tcPr>
            <w:tcW w:w="1565" w:type="dxa"/>
            <w:tcBorders>
              <w:tl2br w:val="nil"/>
              <w:tr2bl w:val="nil"/>
            </w:tcBorders>
            <w:vAlign w:val="center"/>
          </w:tcPr>
          <w:p w14:paraId="06768742">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11.6</w:t>
            </w:r>
          </w:p>
        </w:tc>
        <w:tc>
          <w:tcPr>
            <w:tcW w:w="7475" w:type="dxa"/>
            <w:tcBorders>
              <w:tl2br w:val="nil"/>
              <w:tr2bl w:val="nil"/>
            </w:tcBorders>
            <w:vAlign w:val="center"/>
          </w:tcPr>
          <w:p w14:paraId="19B76A15">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合同期内不调价。</w:t>
            </w:r>
          </w:p>
        </w:tc>
      </w:tr>
      <w:tr w14:paraId="6655DE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811" w:type="dxa"/>
            <w:tcBorders>
              <w:tl2br w:val="nil"/>
              <w:tr2bl w:val="nil"/>
            </w:tcBorders>
            <w:vAlign w:val="center"/>
          </w:tcPr>
          <w:p w14:paraId="7A738DE4">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14</w:t>
            </w:r>
          </w:p>
        </w:tc>
        <w:tc>
          <w:tcPr>
            <w:tcW w:w="1565" w:type="dxa"/>
            <w:tcBorders>
              <w:tl2br w:val="nil"/>
              <w:tr2bl w:val="nil"/>
            </w:tcBorders>
            <w:vAlign w:val="center"/>
          </w:tcPr>
          <w:p w14:paraId="20CEC750">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15.5.2</w:t>
            </w:r>
          </w:p>
        </w:tc>
        <w:tc>
          <w:tcPr>
            <w:tcW w:w="7475" w:type="dxa"/>
            <w:tcBorders>
              <w:tl2br w:val="nil"/>
              <w:tr2bl w:val="nil"/>
            </w:tcBorders>
            <w:vAlign w:val="center"/>
          </w:tcPr>
          <w:p w14:paraId="55A9F860">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承包人提出的合理化建议降低了合同价格或者提高了工程经济效益的，发包人按所节约成本的</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 xml:space="preserve"> /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%或增加收益的</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 xml:space="preserve"> /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%给予奖励</w:t>
            </w:r>
            <w:r>
              <w:rPr>
                <w:rFonts w:hint="eastAsia" w:ascii="仿宋" w:hAnsi="仿宋" w:eastAsia="仿宋" w:cs="仿宋"/>
                <w:color w:val="0D0D0D" w:themeColor="text1" w:themeTint="F2"/>
                <w:sz w:val="20"/>
                <w:szCs w:val="21"/>
                <w14:textFill>
                  <w14:solidFill>
                    <w14:schemeClr w14:val="tx1">
                      <w14:lumMod w14:val="95000"/>
                      <w14:lumOff w14:val="5000"/>
                    </w14:schemeClr>
                  </w14:solidFill>
                </w14:textFill>
              </w:rPr>
              <w:t>：(不适用)。</w:t>
            </w:r>
          </w:p>
        </w:tc>
      </w:tr>
      <w:tr w14:paraId="4D2E93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298B8A1F">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15</w:t>
            </w:r>
          </w:p>
        </w:tc>
        <w:tc>
          <w:tcPr>
            <w:tcW w:w="1565" w:type="dxa"/>
            <w:tcBorders>
              <w:tl2br w:val="nil"/>
              <w:tr2bl w:val="nil"/>
            </w:tcBorders>
            <w:vAlign w:val="center"/>
          </w:tcPr>
          <w:p w14:paraId="3C3C4584">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17.2.1（1）</w:t>
            </w:r>
          </w:p>
        </w:tc>
        <w:tc>
          <w:tcPr>
            <w:tcW w:w="7475" w:type="dxa"/>
            <w:tcBorders>
              <w:tl2br w:val="nil"/>
              <w:tr2bl w:val="nil"/>
            </w:tcBorders>
            <w:vAlign w:val="center"/>
          </w:tcPr>
          <w:p w14:paraId="4740F7EF">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开工预付款金额：</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w:t>
            </w:r>
          </w:p>
        </w:tc>
      </w:tr>
      <w:tr w14:paraId="15E0EF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69AFE2CA">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16</w:t>
            </w:r>
          </w:p>
        </w:tc>
        <w:tc>
          <w:tcPr>
            <w:tcW w:w="1565" w:type="dxa"/>
            <w:tcBorders>
              <w:tl2br w:val="nil"/>
              <w:tr2bl w:val="nil"/>
            </w:tcBorders>
            <w:vAlign w:val="center"/>
          </w:tcPr>
          <w:p w14:paraId="3B6E20E6">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17.2.1（2）</w:t>
            </w:r>
          </w:p>
        </w:tc>
        <w:tc>
          <w:tcPr>
            <w:tcW w:w="7475" w:type="dxa"/>
            <w:tcBorders>
              <w:tl2br w:val="nil"/>
              <w:tr2bl w:val="nil"/>
            </w:tcBorders>
            <w:vAlign w:val="center"/>
          </w:tcPr>
          <w:p w14:paraId="26ABB300">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材料、设备预付款比例：无</w:t>
            </w:r>
          </w:p>
        </w:tc>
      </w:tr>
      <w:tr w14:paraId="404D7F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00AE8A4D">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17</w:t>
            </w:r>
          </w:p>
        </w:tc>
        <w:tc>
          <w:tcPr>
            <w:tcW w:w="1565" w:type="dxa"/>
            <w:tcBorders>
              <w:tl2br w:val="nil"/>
              <w:tr2bl w:val="nil"/>
            </w:tcBorders>
            <w:vAlign w:val="center"/>
          </w:tcPr>
          <w:p w14:paraId="7D86DC59">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17.3.2</w:t>
            </w:r>
          </w:p>
        </w:tc>
        <w:tc>
          <w:tcPr>
            <w:tcW w:w="7475" w:type="dxa"/>
            <w:tcBorders>
              <w:tl2br w:val="nil"/>
              <w:tr2bl w:val="nil"/>
            </w:tcBorders>
            <w:vAlign w:val="center"/>
          </w:tcPr>
          <w:p w14:paraId="2B96CA77">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承包人在每个付款周期末向监理人提交进度付款申请单的份数： 5 份</w:t>
            </w:r>
          </w:p>
        </w:tc>
      </w:tr>
      <w:tr w14:paraId="4966C4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3219378C">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18</w:t>
            </w:r>
          </w:p>
        </w:tc>
        <w:tc>
          <w:tcPr>
            <w:tcW w:w="1565" w:type="dxa"/>
            <w:tcBorders>
              <w:tl2br w:val="nil"/>
              <w:tr2bl w:val="nil"/>
            </w:tcBorders>
            <w:vAlign w:val="center"/>
          </w:tcPr>
          <w:p w14:paraId="46B5DF37">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17.3.3（1）</w:t>
            </w:r>
          </w:p>
        </w:tc>
        <w:tc>
          <w:tcPr>
            <w:tcW w:w="7475" w:type="dxa"/>
            <w:tcBorders>
              <w:tl2br w:val="nil"/>
              <w:tr2bl w:val="nil"/>
            </w:tcBorders>
            <w:vAlign w:val="center"/>
          </w:tcPr>
          <w:p w14:paraId="39F0E458">
            <w:pPr>
              <w:keepNext w:val="0"/>
              <w:keepLines w:val="0"/>
              <w:pageBreakBefore w:val="0"/>
              <w:widowControl w:val="0"/>
              <w:kinsoku/>
              <w:wordWrap/>
              <w:overflowPunct/>
              <w:topLinePunct w:val="0"/>
              <w:autoSpaceDE w:val="0"/>
              <w:autoSpaceDN w:val="0"/>
              <w:bidi w:val="0"/>
              <w:snapToGrid w:val="0"/>
              <w:spacing w:line="240" w:lineRule="auto"/>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进度付款证书最低限额 ：</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万元</w:t>
            </w:r>
          </w:p>
        </w:tc>
      </w:tr>
      <w:tr w14:paraId="58F63F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3DE0AD38">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19</w:t>
            </w:r>
          </w:p>
        </w:tc>
        <w:tc>
          <w:tcPr>
            <w:tcW w:w="1565" w:type="dxa"/>
            <w:tcBorders>
              <w:tl2br w:val="nil"/>
              <w:tr2bl w:val="nil"/>
            </w:tcBorders>
            <w:vAlign w:val="center"/>
          </w:tcPr>
          <w:p w14:paraId="6E93B720">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17.3.3（2）</w:t>
            </w:r>
          </w:p>
        </w:tc>
        <w:tc>
          <w:tcPr>
            <w:tcW w:w="7475" w:type="dxa"/>
            <w:tcBorders>
              <w:tl2br w:val="nil"/>
              <w:tr2bl w:val="nil"/>
            </w:tcBorders>
            <w:vAlign w:val="center"/>
          </w:tcPr>
          <w:p w14:paraId="0A1C872A">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逾期付款违约金的利率：</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‰/天</w:t>
            </w:r>
          </w:p>
        </w:tc>
      </w:tr>
      <w:tr w14:paraId="5F7034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25B10C26">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20</w:t>
            </w:r>
          </w:p>
        </w:tc>
        <w:tc>
          <w:tcPr>
            <w:tcW w:w="1565" w:type="dxa"/>
            <w:tcBorders>
              <w:tl2br w:val="nil"/>
              <w:tr2bl w:val="nil"/>
            </w:tcBorders>
            <w:vAlign w:val="center"/>
          </w:tcPr>
          <w:p w14:paraId="00B74014">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17.4.1</w:t>
            </w:r>
          </w:p>
        </w:tc>
        <w:tc>
          <w:tcPr>
            <w:tcW w:w="7475" w:type="dxa"/>
            <w:tcBorders>
              <w:tl2br w:val="nil"/>
              <w:tr2bl w:val="nil"/>
            </w:tcBorders>
            <w:vAlign w:val="center"/>
          </w:tcPr>
          <w:p w14:paraId="45302CEB">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lang w:val="en-US" w:eastAsia="zh-CN"/>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质量保证金金额：</w:t>
            </w:r>
            <w:r>
              <w:rPr>
                <w:rFonts w:hint="eastAsia" w:ascii="仿宋" w:hAnsi="仿宋" w:eastAsia="仿宋" w:cs="仿宋"/>
                <w:color w:val="0D0D0D" w:themeColor="text1" w:themeTint="F2"/>
                <w:sz w:val="22"/>
                <w:u w:val="single"/>
                <w:lang w:val="en-US" w:eastAsia="zh-CN"/>
                <w14:textFill>
                  <w14:solidFill>
                    <w14:schemeClr w14:val="tx1">
                      <w14:lumMod w14:val="95000"/>
                      <w14:lumOff w14:val="5000"/>
                    </w14:schemeClr>
                  </w14:solidFill>
                </w14:textFill>
              </w:rPr>
              <w:t xml:space="preserve"> / </w:t>
            </w:r>
          </w:p>
        </w:tc>
      </w:tr>
      <w:tr w14:paraId="11BAF2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6818A39E">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21</w:t>
            </w:r>
          </w:p>
        </w:tc>
        <w:tc>
          <w:tcPr>
            <w:tcW w:w="1565" w:type="dxa"/>
            <w:tcBorders>
              <w:tl2br w:val="nil"/>
              <w:tr2bl w:val="nil"/>
            </w:tcBorders>
            <w:vAlign w:val="center"/>
          </w:tcPr>
          <w:p w14:paraId="7FEB4ECE">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17.5.1（1）</w:t>
            </w:r>
          </w:p>
        </w:tc>
        <w:tc>
          <w:tcPr>
            <w:tcW w:w="7475" w:type="dxa"/>
            <w:tcBorders>
              <w:tl2br w:val="nil"/>
              <w:tr2bl w:val="nil"/>
            </w:tcBorders>
            <w:vAlign w:val="center"/>
          </w:tcPr>
          <w:p w14:paraId="2809BAA1">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承包人向监理人提交交工付款申请单（包括相关证明材料）的份数：</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 xml:space="preserve">5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份</w:t>
            </w:r>
          </w:p>
        </w:tc>
      </w:tr>
      <w:tr w14:paraId="5C836E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19EA0CF7">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22</w:t>
            </w:r>
          </w:p>
        </w:tc>
        <w:tc>
          <w:tcPr>
            <w:tcW w:w="1565" w:type="dxa"/>
            <w:tcBorders>
              <w:tl2br w:val="nil"/>
              <w:tr2bl w:val="nil"/>
            </w:tcBorders>
            <w:vAlign w:val="center"/>
          </w:tcPr>
          <w:p w14:paraId="2E3C3458">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17.6.1（1）</w:t>
            </w:r>
          </w:p>
        </w:tc>
        <w:tc>
          <w:tcPr>
            <w:tcW w:w="7475" w:type="dxa"/>
            <w:tcBorders>
              <w:tl2br w:val="nil"/>
              <w:tr2bl w:val="nil"/>
            </w:tcBorders>
            <w:vAlign w:val="center"/>
          </w:tcPr>
          <w:p w14:paraId="20DB72C7">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承包人向监理人提交最终结清申请单（包括相关证明材料）的份数：</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 xml:space="preserve">5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份</w:t>
            </w:r>
          </w:p>
        </w:tc>
      </w:tr>
      <w:tr w14:paraId="2A16A4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49125EB6">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23</w:t>
            </w:r>
          </w:p>
        </w:tc>
        <w:tc>
          <w:tcPr>
            <w:tcW w:w="1565" w:type="dxa"/>
            <w:tcBorders>
              <w:tl2br w:val="nil"/>
              <w:tr2bl w:val="nil"/>
            </w:tcBorders>
            <w:vAlign w:val="center"/>
          </w:tcPr>
          <w:p w14:paraId="4DBB73EA">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18.2（2）</w:t>
            </w:r>
          </w:p>
        </w:tc>
        <w:tc>
          <w:tcPr>
            <w:tcW w:w="7475" w:type="dxa"/>
            <w:tcBorders>
              <w:tl2br w:val="nil"/>
              <w:tr2bl w:val="nil"/>
            </w:tcBorders>
            <w:vAlign w:val="center"/>
          </w:tcPr>
          <w:p w14:paraId="68A5EA01">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竣工资料的份数：5份</w:t>
            </w:r>
          </w:p>
        </w:tc>
      </w:tr>
      <w:tr w14:paraId="2249C8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28976DBA">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24</w:t>
            </w:r>
          </w:p>
        </w:tc>
        <w:tc>
          <w:tcPr>
            <w:tcW w:w="1565" w:type="dxa"/>
            <w:tcBorders>
              <w:tl2br w:val="nil"/>
              <w:tr2bl w:val="nil"/>
            </w:tcBorders>
            <w:vAlign w:val="center"/>
          </w:tcPr>
          <w:p w14:paraId="0A69F226">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18.5.1</w:t>
            </w:r>
          </w:p>
        </w:tc>
        <w:tc>
          <w:tcPr>
            <w:tcW w:w="7475" w:type="dxa"/>
            <w:tcBorders>
              <w:tl2br w:val="nil"/>
              <w:tr2bl w:val="nil"/>
            </w:tcBorders>
            <w:vAlign w:val="center"/>
          </w:tcPr>
          <w:p w14:paraId="24D1F07C">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单位工程或工程设备是否需投入施工期运行：否</w:t>
            </w:r>
          </w:p>
        </w:tc>
      </w:tr>
      <w:tr w14:paraId="0A5E14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685E6B78">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25</w:t>
            </w:r>
          </w:p>
        </w:tc>
        <w:tc>
          <w:tcPr>
            <w:tcW w:w="1565" w:type="dxa"/>
            <w:tcBorders>
              <w:tl2br w:val="nil"/>
              <w:tr2bl w:val="nil"/>
            </w:tcBorders>
            <w:vAlign w:val="center"/>
          </w:tcPr>
          <w:p w14:paraId="799D0C46">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18.6.1</w:t>
            </w:r>
          </w:p>
        </w:tc>
        <w:tc>
          <w:tcPr>
            <w:tcW w:w="7475" w:type="dxa"/>
            <w:tcBorders>
              <w:tl2br w:val="nil"/>
              <w:tr2bl w:val="nil"/>
            </w:tcBorders>
            <w:vAlign w:val="center"/>
          </w:tcPr>
          <w:p w14:paraId="351ECAB6">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本工程及工程设备是否进行试运行：否</w:t>
            </w:r>
          </w:p>
        </w:tc>
      </w:tr>
      <w:tr w14:paraId="606233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28D60BC1">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26</w:t>
            </w:r>
          </w:p>
        </w:tc>
        <w:tc>
          <w:tcPr>
            <w:tcW w:w="1565" w:type="dxa"/>
            <w:tcBorders>
              <w:tl2br w:val="nil"/>
              <w:tr2bl w:val="nil"/>
            </w:tcBorders>
            <w:vAlign w:val="center"/>
          </w:tcPr>
          <w:p w14:paraId="372A1D68">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19.7（1）</w:t>
            </w:r>
          </w:p>
        </w:tc>
        <w:tc>
          <w:tcPr>
            <w:tcW w:w="7475" w:type="dxa"/>
            <w:tcBorders>
              <w:tl2br w:val="nil"/>
              <w:tr2bl w:val="nil"/>
            </w:tcBorders>
            <w:vAlign w:val="center"/>
          </w:tcPr>
          <w:p w14:paraId="64F47E31">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保修期：自实际交工日期起计算</w:t>
            </w:r>
            <w:r>
              <w:rPr>
                <w:rFonts w:hint="eastAsia" w:ascii="仿宋" w:hAnsi="仿宋" w:eastAsia="仿宋" w:cs="仿宋"/>
                <w:color w:val="0D0D0D" w:themeColor="text1" w:themeTint="F2"/>
                <w:sz w:val="22"/>
                <w:u w:val="single"/>
                <w:lang w:val="en-US" w:eastAsia="zh-CN"/>
                <w14:textFill>
                  <w14:solidFill>
                    <w14:schemeClr w14:val="tx1">
                      <w14:lumMod w14:val="95000"/>
                      <w14:lumOff w14:val="5000"/>
                    </w14:schemeClr>
                  </w14:solidFill>
                </w14:textFill>
              </w:rPr>
              <w:t xml:space="preserve"> 2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年</w:t>
            </w:r>
          </w:p>
        </w:tc>
      </w:tr>
      <w:tr w14:paraId="2C0E70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094632E0">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27</w:t>
            </w:r>
          </w:p>
        </w:tc>
        <w:tc>
          <w:tcPr>
            <w:tcW w:w="1565" w:type="dxa"/>
            <w:tcBorders>
              <w:tl2br w:val="nil"/>
              <w:tr2bl w:val="nil"/>
            </w:tcBorders>
            <w:vAlign w:val="center"/>
          </w:tcPr>
          <w:p w14:paraId="71AAA356">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20.1</w:t>
            </w:r>
          </w:p>
        </w:tc>
        <w:tc>
          <w:tcPr>
            <w:tcW w:w="7475" w:type="dxa"/>
            <w:tcBorders>
              <w:tl2br w:val="nil"/>
              <w:tr2bl w:val="nil"/>
            </w:tcBorders>
            <w:vAlign w:val="center"/>
          </w:tcPr>
          <w:p w14:paraId="3D763FD6">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000FF"/>
                <w:sz w:val="22"/>
              </w:rPr>
            </w:pPr>
            <w:r>
              <w:rPr>
                <w:rFonts w:hint="eastAsia" w:ascii="仿宋" w:hAnsi="仿宋" w:eastAsia="仿宋" w:cs="仿宋"/>
                <w:color w:val="auto"/>
                <w:sz w:val="22"/>
              </w:rPr>
              <w:t>建筑工程一切险的保险费率：第200章至第700章合计的</w:t>
            </w:r>
            <w:r>
              <w:rPr>
                <w:rFonts w:hint="eastAsia" w:ascii="仿宋" w:hAnsi="仿宋" w:eastAsia="仿宋" w:cs="仿宋"/>
                <w:color w:val="auto"/>
                <w:sz w:val="22"/>
                <w:u w:val="single"/>
              </w:rPr>
              <w:t xml:space="preserve"> </w:t>
            </w:r>
            <w:r>
              <w:rPr>
                <w:rFonts w:hint="eastAsia" w:ascii="仿宋" w:hAnsi="仿宋" w:eastAsia="仿宋" w:cs="仿宋"/>
                <w:color w:val="auto"/>
                <w:sz w:val="22"/>
                <w:u w:val="single"/>
                <w:lang w:val="en-US" w:eastAsia="zh-CN"/>
              </w:rPr>
              <w:t>0.3</w:t>
            </w:r>
            <w:r>
              <w:rPr>
                <w:rFonts w:hint="eastAsia" w:ascii="仿宋" w:hAnsi="仿宋" w:eastAsia="仿宋" w:cs="仿宋"/>
                <w:color w:val="auto"/>
                <w:sz w:val="22"/>
                <w:u w:val="single"/>
              </w:rPr>
              <w:t xml:space="preserve"> %</w:t>
            </w:r>
            <w:r>
              <w:rPr>
                <w:rFonts w:hint="eastAsia" w:ascii="仿宋" w:hAnsi="仿宋" w:eastAsia="仿宋" w:cs="仿宋"/>
                <w:color w:val="auto"/>
                <w:sz w:val="22"/>
              </w:rPr>
              <w:t>计取</w:t>
            </w:r>
          </w:p>
        </w:tc>
      </w:tr>
      <w:tr w14:paraId="04B3B5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811" w:type="dxa"/>
            <w:tcBorders>
              <w:tl2br w:val="nil"/>
              <w:tr2bl w:val="nil"/>
            </w:tcBorders>
            <w:vAlign w:val="center"/>
          </w:tcPr>
          <w:p w14:paraId="2CCF1066">
            <w:pPr>
              <w:autoSpaceDE w:val="0"/>
              <w:autoSpaceDN w:val="0"/>
              <w:snapToGrid w:val="0"/>
              <w:spacing w:line="276" w:lineRule="auto"/>
              <w:jc w:val="center"/>
              <w:rPr>
                <w:rFonts w:hint="eastAsia" w:ascii="仿宋" w:hAnsi="仿宋" w:eastAsia="仿宋" w:cs="仿宋"/>
                <w:color w:val="0D0D0D" w:themeColor="text1" w:themeTint="F2"/>
                <w:sz w:val="22"/>
                <w:lang w:val="en-US" w:eastAsia="zh-CN"/>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w:t>
            </w:r>
            <w:r>
              <w:rPr>
                <w:rFonts w:hint="eastAsia" w:ascii="仿宋" w:hAnsi="仿宋" w:eastAsia="仿宋" w:cs="仿宋"/>
                <w:color w:val="0D0D0D" w:themeColor="text1" w:themeTint="F2"/>
                <w:sz w:val="22"/>
                <w:lang w:val="en-US" w:eastAsia="zh-CN"/>
                <w14:textFill>
                  <w14:solidFill>
                    <w14:schemeClr w14:val="tx1">
                      <w14:lumMod w14:val="95000"/>
                      <w14:lumOff w14:val="5000"/>
                    </w14:schemeClr>
                  </w14:solidFill>
                </w14:textFill>
              </w:rPr>
              <w:t>8</w:t>
            </w:r>
          </w:p>
        </w:tc>
        <w:tc>
          <w:tcPr>
            <w:tcW w:w="1565" w:type="dxa"/>
            <w:tcBorders>
              <w:tl2br w:val="nil"/>
              <w:tr2bl w:val="nil"/>
            </w:tcBorders>
            <w:vAlign w:val="center"/>
          </w:tcPr>
          <w:p w14:paraId="164CC799">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24.1</w:t>
            </w:r>
          </w:p>
        </w:tc>
        <w:tc>
          <w:tcPr>
            <w:tcW w:w="7475" w:type="dxa"/>
            <w:tcBorders>
              <w:tl2br w:val="nil"/>
              <w:tr2bl w:val="nil"/>
            </w:tcBorders>
            <w:vAlign w:val="center"/>
          </w:tcPr>
          <w:p w14:paraId="1BCAA85D">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lang w:val="en-US" w:eastAsia="zh-CN"/>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争议的最终解决方式：</w:t>
            </w:r>
            <w:r>
              <w:rPr>
                <w:rFonts w:hint="eastAsia" w:ascii="仿宋" w:hAnsi="仿宋" w:eastAsia="仿宋" w:cs="仿宋"/>
                <w:color w:val="0D0D0D" w:themeColor="text1" w:themeTint="F2"/>
                <w:sz w:val="22"/>
                <w:lang w:val="en-US" w:eastAsia="zh-CN"/>
                <w14:textFill>
                  <w14:solidFill>
                    <w14:schemeClr w14:val="tx1">
                      <w14:lumMod w14:val="95000"/>
                      <w14:lumOff w14:val="5000"/>
                    </w14:schemeClr>
                  </w14:solidFill>
                </w14:textFill>
              </w:rPr>
              <w:t>诉讼</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w:t>
            </w:r>
          </w:p>
        </w:tc>
      </w:tr>
    </w:tbl>
    <w:p w14:paraId="663F04D3">
      <w:pPr>
        <w:widowControl/>
        <w:spacing w:after="200" w:line="276" w:lineRule="auto"/>
        <w:jc w:val="center"/>
        <w:rPr>
          <w:rFonts w:hint="eastAsia" w:ascii="仿宋" w:hAnsi="仿宋" w:eastAsia="仿宋" w:cs="仿宋"/>
          <w:color w:val="0D0D0D" w:themeColor="text1" w:themeTint="F2"/>
          <w:kern w:val="0"/>
          <w:sz w:val="28"/>
          <w:szCs w:val="28"/>
          <w14:textFill>
            <w14:solidFill>
              <w14:schemeClr w14:val="tx1">
                <w14:lumMod w14:val="95000"/>
                <w14:lumOff w14:val="5000"/>
              </w14:schemeClr>
            </w14:solidFill>
          </w14:textFill>
        </w:rPr>
      </w:pPr>
      <w:bookmarkStart w:id="36" w:name="_GoBack"/>
      <w:bookmarkEnd w:id="36"/>
    </w:p>
    <w:p w14:paraId="6F251733">
      <w:pPr>
        <w:widowControl/>
        <w:spacing w:after="200" w:line="276" w:lineRule="auto"/>
        <w:jc w:val="center"/>
        <w:rPr>
          <w:rFonts w:hint="eastAsia" w:ascii="仿宋" w:hAnsi="仿宋" w:eastAsia="仿宋" w:cs="仿宋"/>
          <w:color w:val="0D0D0D" w:themeColor="text1" w:themeTint="F2"/>
          <w:kern w:val="0"/>
          <w:sz w:val="28"/>
          <w:szCs w:val="28"/>
          <w14:textFill>
            <w14:solidFill>
              <w14:schemeClr w14:val="tx1">
                <w14:lumMod w14:val="95000"/>
                <w14:lumOff w14:val="5000"/>
              </w14:schemeClr>
            </w14:solidFill>
          </w14:textFill>
        </w:rPr>
      </w:pPr>
    </w:p>
    <w:p w14:paraId="505E3FE6">
      <w:pPr>
        <w:widowControl/>
        <w:spacing w:after="200" w:line="276" w:lineRule="auto"/>
        <w:jc w:val="center"/>
        <w:rPr>
          <w:rFonts w:hint="eastAsia" w:ascii="仿宋" w:hAnsi="仿宋" w:eastAsia="仿宋" w:cs="仿宋"/>
          <w:color w:val="0D0D0D" w:themeColor="text1" w:themeTint="F2"/>
          <w:kern w:val="0"/>
          <w:sz w:val="28"/>
          <w:szCs w:val="28"/>
          <w14:textFill>
            <w14:solidFill>
              <w14:schemeClr w14:val="tx1">
                <w14:lumMod w14:val="95000"/>
                <w14:lumOff w14:val="5000"/>
              </w14:schemeClr>
            </w14:solidFill>
          </w14:textFill>
        </w:rPr>
      </w:pPr>
    </w:p>
    <w:p w14:paraId="7C4CDE07">
      <w:pPr>
        <w:widowControl/>
        <w:spacing w:after="200" w:line="276" w:lineRule="auto"/>
        <w:jc w:val="center"/>
        <w:rPr>
          <w:rFonts w:hint="eastAsia" w:ascii="仿宋" w:hAnsi="仿宋" w:eastAsia="仿宋" w:cs="仿宋"/>
          <w:color w:val="0D0D0D" w:themeColor="text1" w:themeTint="F2"/>
          <w:kern w:val="0"/>
          <w:sz w:val="28"/>
          <w:szCs w:val="28"/>
          <w14:textFill>
            <w14:solidFill>
              <w14:schemeClr w14:val="tx1">
                <w14:lumMod w14:val="95000"/>
                <w14:lumOff w14:val="5000"/>
              </w14:schemeClr>
            </w14:solidFill>
          </w14:textFill>
        </w:rPr>
      </w:pPr>
    </w:p>
    <w:p w14:paraId="042C38F2">
      <w:pPr>
        <w:widowControl/>
        <w:spacing w:after="200" w:line="276" w:lineRule="auto"/>
        <w:jc w:val="center"/>
        <w:rPr>
          <w:rFonts w:hint="eastAsia" w:ascii="仿宋" w:hAnsi="仿宋" w:eastAsia="仿宋" w:cs="仿宋"/>
          <w:color w:val="0D0D0D" w:themeColor="text1" w:themeTint="F2"/>
          <w:kern w:val="0"/>
          <w:sz w:val="28"/>
          <w:szCs w:val="28"/>
          <w14:textFill>
            <w14:solidFill>
              <w14:schemeClr w14:val="tx1">
                <w14:lumMod w14:val="95000"/>
                <w14:lumOff w14:val="5000"/>
              </w14:schemeClr>
            </w14:solidFill>
          </w14:textFill>
        </w:rPr>
      </w:pPr>
    </w:p>
    <w:p w14:paraId="7FA89F32">
      <w:pPr>
        <w:widowControl/>
        <w:spacing w:after="200" w:line="276" w:lineRule="auto"/>
        <w:jc w:val="center"/>
        <w:rPr>
          <w:rFonts w:hint="eastAsia" w:ascii="仿宋" w:hAnsi="仿宋" w:eastAsia="仿宋" w:cs="仿宋"/>
          <w:color w:val="0D0D0D" w:themeColor="text1" w:themeTint="F2"/>
          <w:kern w:val="0"/>
          <w:sz w:val="28"/>
          <w:szCs w:val="28"/>
          <w14:textFill>
            <w14:solidFill>
              <w14:schemeClr w14:val="tx1">
                <w14:lumMod w14:val="95000"/>
                <w14:lumOff w14:val="5000"/>
              </w14:schemeClr>
            </w14:solidFill>
          </w14:textFill>
        </w:rPr>
      </w:pPr>
    </w:p>
    <w:p w14:paraId="42210113">
      <w:pPr>
        <w:widowControl/>
        <w:spacing w:after="200" w:line="276" w:lineRule="auto"/>
        <w:jc w:val="center"/>
        <w:rPr>
          <w:rFonts w:hint="eastAsia" w:ascii="仿宋" w:hAnsi="仿宋" w:eastAsia="仿宋" w:cs="仿宋"/>
          <w:color w:val="0D0D0D" w:themeColor="text1" w:themeTint="F2"/>
          <w:kern w:val="0"/>
          <w:sz w:val="28"/>
          <w:szCs w:val="28"/>
          <w14:textFill>
            <w14:solidFill>
              <w14:schemeClr w14:val="tx1">
                <w14:lumMod w14:val="95000"/>
                <w14:lumOff w14:val="5000"/>
              </w14:schemeClr>
            </w14:solidFill>
          </w14:textFill>
        </w:rPr>
      </w:pPr>
    </w:p>
    <w:p w14:paraId="6E783D51">
      <w:pPr>
        <w:widowControl/>
        <w:spacing w:after="200" w:line="276" w:lineRule="auto"/>
        <w:jc w:val="center"/>
        <w:rPr>
          <w:rFonts w:hint="eastAsia" w:ascii="仿宋" w:hAnsi="仿宋" w:eastAsia="仿宋" w:cs="仿宋"/>
          <w:color w:val="0D0D0D" w:themeColor="text1" w:themeTint="F2"/>
          <w:kern w:val="0"/>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br w:type="page"/>
      </w:r>
    </w:p>
    <w:p w14:paraId="0AAA4A3F">
      <w:pPr>
        <w:jc w:val="center"/>
        <w:rPr>
          <w:rFonts w:hint="eastAsia" w:ascii="仿宋" w:hAnsi="仿宋" w:eastAsia="仿宋" w:cs="仿宋"/>
          <w:b/>
          <w:color w:val="0D0D0D" w:themeColor="text1" w:themeTint="F2"/>
          <w:sz w:val="24"/>
          <w:szCs w:val="21"/>
          <w14:textFill>
            <w14:solidFill>
              <w14:schemeClr w14:val="tx1">
                <w14:lumMod w14:val="95000"/>
                <w14:lumOff w14:val="5000"/>
              </w14:schemeClr>
            </w14:solidFill>
          </w14:textFill>
        </w:rPr>
      </w:pPr>
      <w:bookmarkStart w:id="4" w:name="_Toc139464394"/>
      <w:bookmarkStart w:id="5" w:name="_Toc139462830"/>
      <w:bookmarkStart w:id="6" w:name="_Toc120443088"/>
      <w:bookmarkStart w:id="7" w:name="_Toc139463629"/>
      <w:r>
        <w:rPr>
          <w:rFonts w:hint="eastAsia" w:ascii="仿宋" w:hAnsi="仿宋" w:eastAsia="仿宋" w:cs="仿宋"/>
          <w:b/>
          <w:color w:val="0D0D0D" w:themeColor="text1" w:themeTint="F2"/>
          <w:sz w:val="24"/>
          <w:szCs w:val="21"/>
          <w14:textFill>
            <w14:solidFill>
              <w14:schemeClr w14:val="tx1">
                <w14:lumMod w14:val="95000"/>
                <w14:lumOff w14:val="5000"/>
              </w14:schemeClr>
            </w14:solidFill>
          </w14:textFill>
        </w:rPr>
        <w:t>第三节　合同附件格式</w:t>
      </w:r>
      <w:bookmarkEnd w:id="4"/>
      <w:bookmarkEnd w:id="5"/>
      <w:bookmarkEnd w:id="6"/>
      <w:bookmarkEnd w:id="7"/>
    </w:p>
    <w:p w14:paraId="79A7755E">
      <w:pPr>
        <w:pStyle w:val="2"/>
        <w:snapToGrid w:val="0"/>
        <w:spacing w:before="0" w:after="0" w:line="240" w:lineRule="auto"/>
        <w:ind w:firstLine="440"/>
        <w:contextualSpacing/>
        <w:rPr>
          <w:rFonts w:hint="eastAsia" w:ascii="仿宋" w:hAnsi="仿宋" w:eastAsia="仿宋" w:cs="仿宋"/>
          <w:color w:val="0D0D0D" w:themeColor="text1" w:themeTint="F2"/>
          <w:sz w:val="22"/>
          <w:szCs w:val="24"/>
          <w14:textFill>
            <w14:solidFill>
              <w14:schemeClr w14:val="tx1">
                <w14:lumMod w14:val="95000"/>
                <w14:lumOff w14:val="5000"/>
              </w14:schemeClr>
            </w14:solidFill>
          </w14:textFill>
        </w:rPr>
      </w:pPr>
      <w:bookmarkStart w:id="8" w:name="_Toc139463630"/>
      <w:bookmarkStart w:id="9" w:name="_Toc144974827"/>
      <w:bookmarkStart w:id="10" w:name="_Toc492453816"/>
      <w:bookmarkStart w:id="11" w:name="_Toc152045768"/>
      <w:bookmarkStart w:id="12" w:name="_Toc139464395"/>
      <w:bookmarkStart w:id="13" w:name="_Toc120443089"/>
      <w:bookmarkStart w:id="14" w:name="_Toc152042547"/>
      <w:bookmarkStart w:id="15" w:name="_Toc508705451"/>
      <w:bookmarkStart w:id="16" w:name="_Toc139462831"/>
      <w:bookmarkStart w:id="17" w:name="_Toc508699219"/>
      <w:bookmarkStart w:id="18" w:name="_Toc179632786"/>
      <w:bookmarkStart w:id="19" w:name="_Toc141945350"/>
      <w:r>
        <w:rPr>
          <w:rFonts w:hint="eastAsia" w:ascii="仿宋" w:hAnsi="仿宋" w:eastAsia="仿宋" w:cs="仿宋"/>
          <w:color w:val="0D0D0D" w:themeColor="text1" w:themeTint="F2"/>
          <w:sz w:val="22"/>
          <w:szCs w:val="24"/>
          <w14:textFill>
            <w14:solidFill>
              <w14:schemeClr w14:val="tx1">
                <w14:lumMod w14:val="95000"/>
                <w14:lumOff w14:val="5000"/>
              </w14:schemeClr>
            </w14:solidFill>
          </w14:textFill>
        </w:rPr>
        <w:t>附件一：合同协议书</w:t>
      </w:r>
      <w:bookmarkEnd w:id="8"/>
      <w:bookmarkEnd w:id="9"/>
      <w:bookmarkEnd w:id="10"/>
      <w:bookmarkEnd w:id="11"/>
      <w:bookmarkEnd w:id="12"/>
      <w:bookmarkEnd w:id="13"/>
      <w:bookmarkEnd w:id="14"/>
      <w:bookmarkEnd w:id="15"/>
      <w:bookmarkEnd w:id="16"/>
      <w:bookmarkEnd w:id="17"/>
      <w:bookmarkEnd w:id="18"/>
      <w:bookmarkEnd w:id="19"/>
    </w:p>
    <w:p w14:paraId="4962A1BE">
      <w:pPr>
        <w:jc w:val="center"/>
        <w:rPr>
          <w:rFonts w:hint="eastAsia" w:ascii="仿宋" w:hAnsi="仿宋" w:eastAsia="仿宋" w:cs="仿宋"/>
          <w:color w:val="0D0D0D" w:themeColor="text1" w:themeTint="F2"/>
          <w:sz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14:textFill>
            <w14:solidFill>
              <w14:schemeClr w14:val="tx1">
                <w14:lumMod w14:val="95000"/>
                <w14:lumOff w14:val="5000"/>
              </w14:schemeClr>
            </w14:solidFill>
          </w14:textFill>
        </w:rPr>
        <w:t>合同协议书</w:t>
      </w:r>
    </w:p>
    <w:p w14:paraId="20171C52">
      <w:pPr>
        <w:widowControl/>
        <w:adjustRightInd w:val="0"/>
        <w:ind w:firstLine="660" w:firstLineChars="3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（发包人名称，以下简称“发包人”）为实施</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（项目名称），已接受</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（承包人名称，以下简称“承包人”）对该项目</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施工的投标。发包人和承包人共同达成如下协议。</w:t>
      </w:r>
    </w:p>
    <w:p w14:paraId="0C8D6757">
      <w:pPr>
        <w:widowControl/>
        <w:adjustRightInd w:val="0"/>
        <w:ind w:left="315" w:leftChars="150" w:firstLine="110" w:firstLineChars="5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1．项目概况：该项目</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，起止桩号为K</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K</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至K</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K</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，公路等级为</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，设计速度为</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路面，长约</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km。</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 xml:space="preserve"> </w:t>
      </w:r>
    </w:p>
    <w:p w14:paraId="39F0736B">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2. 下列文件应视为构成合同文件的组成部分：</w:t>
      </w:r>
    </w:p>
    <w:p w14:paraId="3C5E6D74">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（1）本协议书及各种合同附件（含评标期间和合同协商过程中的澄清文件和补充资料）；</w:t>
      </w:r>
    </w:p>
    <w:p w14:paraId="780CF6D9">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（2）中标通知书；</w:t>
      </w:r>
    </w:p>
    <w:p w14:paraId="4A071DAC">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（3）补遗书；</w:t>
      </w:r>
    </w:p>
    <w:p w14:paraId="18F2AF29">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（4）投标函；</w:t>
      </w:r>
    </w:p>
    <w:p w14:paraId="1513ABAB">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（5）项目专用合同条款；</w:t>
      </w:r>
    </w:p>
    <w:p w14:paraId="33300920">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（6）公路工程专用合同条款；</w:t>
      </w:r>
    </w:p>
    <w:p w14:paraId="0BA54F4B">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（7）通用合同条款；</w:t>
      </w:r>
    </w:p>
    <w:p w14:paraId="641A86D0">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（8）技术规范；</w:t>
      </w:r>
    </w:p>
    <w:p w14:paraId="5FCC6140">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（9）图纸；</w:t>
      </w:r>
    </w:p>
    <w:p w14:paraId="670552F1">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（10）已标价工程量清单；</w:t>
      </w:r>
    </w:p>
    <w:p w14:paraId="0A69E096">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（11）承包人有关人员、设备投入的承诺</w:t>
      </w:r>
    </w:p>
    <w:p w14:paraId="1D25E83A">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（12）其他合同文件。</w:t>
      </w:r>
    </w:p>
    <w:p w14:paraId="43F35375">
      <w:pPr>
        <w:adjustRightInd w:val="0"/>
        <w:ind w:firstLine="440" w:firstLineChars="200"/>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上述合同文件互相补充和解释，如果合同文件之间存在矛盾或不一致之处，以合同约定次序在先者为准。</w:t>
      </w:r>
    </w:p>
    <w:p w14:paraId="779B477C">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 xml:space="preserve"> 3. 根据工程量清单所列的预计数量和单价或总额价计算的签约合同价：人民币（大写）</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元（¥</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元</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w:t>
      </w:r>
    </w:p>
    <w:p w14:paraId="0647916F">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4. 承包人项目经理：</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。承包人项目总工：</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w:t>
      </w:r>
    </w:p>
    <w:p w14:paraId="4F67819F">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5.工程质量符合</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标准。工程安全目标：</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p>
    <w:p w14:paraId="189E9B51">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6. 承包人承诺按合同约定承担工程的实施、完成及缺陷修复。</w:t>
      </w:r>
    </w:p>
    <w:p w14:paraId="5CBFAF4A">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7. 发包人承诺按合同约定的条件、时间和方式向承包人支付合同价款。</w:t>
      </w:r>
    </w:p>
    <w:p w14:paraId="39498DF4">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8. 承包人应按照监理人指示开工，工期为</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日历天。</w:t>
      </w:r>
    </w:p>
    <w:p w14:paraId="129D4438">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9. 在施工过程中因施工引起的外界纠纷由承包人自行解决。</w:t>
      </w:r>
    </w:p>
    <w:p w14:paraId="29099694">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10. 本协议书在承包人提供履约担保后，由双方法定代表人或其委托代理人签署并加盖单位章后生效。全部工程完工后经竣交工验收合格、缺陷责任期满签发缺陷责任终止证书后生效。</w:t>
      </w:r>
    </w:p>
    <w:p w14:paraId="7585CE9D">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11.本协议书正本二份、副本</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份，合同双方各执正本一份，副本</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份，当正本与副本的内容不一致时，以正本为准。</w:t>
      </w:r>
    </w:p>
    <w:p w14:paraId="10996FD5">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12.本合同未尽事宜，另行签订补充协议。补充协议是合同的组成部分。</w:t>
      </w:r>
    </w:p>
    <w:p w14:paraId="14D1950C">
      <w:pPr>
        <w:widowControl/>
        <w:adjustRightInd w:val="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p>
    <w:p w14:paraId="068E7D41">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发包人：</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（盖单位章）</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 xml:space="preserve">      承包人：</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（盖单位章）</w:t>
      </w:r>
    </w:p>
    <w:p w14:paraId="1BE13D34">
      <w:pPr>
        <w:widowControl/>
        <w:adjustRightInd w:val="0"/>
        <w:ind w:firstLine="440" w:firstLineChars="200"/>
        <w:jc w:val="left"/>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法定代表人</w:t>
      </w:r>
      <w:r>
        <w:rPr>
          <w:rFonts w:hint="eastAsia" w:ascii="仿宋" w:hAnsi="仿宋" w:eastAsia="仿宋" w:cs="仿宋"/>
          <w:color w:val="0D0D0D" w:themeColor="text1" w:themeTint="F2"/>
          <w:kern w:val="96"/>
          <w:sz w:val="22"/>
          <w:szCs w:val="21"/>
          <w:lang w:eastAsia="zh-CN"/>
          <w14:textFill>
            <w14:solidFill>
              <w14:schemeClr w14:val="tx1">
                <w14:lumMod w14:val="95000"/>
                <w14:lumOff w14:val="5000"/>
              </w14:schemeClr>
            </w14:solidFill>
          </w14:textFill>
        </w:rPr>
        <w:t>：</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 xml:space="preserve">              法定代表人</w:t>
      </w:r>
      <w:r>
        <w:rPr>
          <w:rFonts w:hint="eastAsia" w:ascii="仿宋" w:hAnsi="仿宋" w:eastAsia="仿宋" w:cs="仿宋"/>
          <w:color w:val="0D0D0D" w:themeColor="text1" w:themeTint="F2"/>
          <w:kern w:val="96"/>
          <w:sz w:val="22"/>
          <w:szCs w:val="21"/>
          <w:lang w:eastAsia="zh-CN"/>
          <w14:textFill>
            <w14:solidFill>
              <w14:schemeClr w14:val="tx1">
                <w14:lumMod w14:val="95000"/>
                <w14:lumOff w14:val="5000"/>
              </w14:schemeClr>
            </w14:solidFill>
          </w14:textFill>
        </w:rPr>
        <w:t>：</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p>
    <w:p w14:paraId="03AB21D1">
      <w:pPr>
        <w:widowControl/>
        <w:adjustRightInd w:val="0"/>
        <w:spacing w:after="20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或其委托代理人：</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（签字）</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 xml:space="preserve">     或其委托代理人：</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（签字）</w:t>
      </w:r>
    </w:p>
    <w:p w14:paraId="5FD628C3">
      <w:pPr>
        <w:widowControl/>
        <w:adjustRightInd w:val="0"/>
        <w:snapToGrid w:val="0"/>
        <w:spacing w:after="200"/>
        <w:ind w:firstLine="440" w:firstLineChars="200"/>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年</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月</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日</w:t>
      </w:r>
    </w:p>
    <w:p w14:paraId="5F09FE06">
      <w:pPr>
        <w:rPr>
          <w:rFonts w:hint="eastAsia" w:ascii="仿宋" w:hAnsi="仿宋" w:eastAsia="仿宋" w:cs="仿宋"/>
          <w:b/>
          <w:bCs/>
          <w:color w:val="0D0D0D" w:themeColor="text1" w:themeTint="F2"/>
          <w:kern w:val="0"/>
          <w:sz w:val="24"/>
          <w14:textFill>
            <w14:solidFill>
              <w14:schemeClr w14:val="tx1">
                <w14:lumMod w14:val="95000"/>
                <w14:lumOff w14:val="5000"/>
              </w14:schemeClr>
            </w14:solidFill>
          </w14:textFill>
        </w:rPr>
      </w:pPr>
      <w:r>
        <w:rPr>
          <w:rFonts w:hint="eastAsia" w:ascii="仿宋" w:hAnsi="仿宋" w:eastAsia="仿宋" w:cs="仿宋"/>
          <w:b/>
          <w:bCs/>
          <w:color w:val="0D0D0D" w:themeColor="text1" w:themeTint="F2"/>
          <w:kern w:val="0"/>
          <w:sz w:val="24"/>
          <w14:textFill>
            <w14:solidFill>
              <w14:schemeClr w14:val="tx1">
                <w14:lumMod w14:val="95000"/>
                <w14:lumOff w14:val="5000"/>
              </w14:schemeClr>
            </w14:solidFill>
          </w14:textFill>
        </w:rPr>
        <w:br w:type="page"/>
      </w:r>
    </w:p>
    <w:p w14:paraId="5A470007">
      <w:pPr>
        <w:pStyle w:val="2"/>
        <w:snapToGrid w:val="0"/>
        <w:spacing w:before="0" w:after="0" w:line="240" w:lineRule="auto"/>
        <w:ind w:firstLine="440"/>
        <w:contextualSpacing/>
        <w:rPr>
          <w:rFonts w:hint="eastAsia" w:ascii="仿宋" w:hAnsi="仿宋" w:eastAsia="仿宋" w:cs="仿宋"/>
          <w:color w:val="0D0D0D" w:themeColor="text1" w:themeTint="F2"/>
          <w:sz w:val="22"/>
          <w:szCs w:val="24"/>
          <w14:textFill>
            <w14:solidFill>
              <w14:schemeClr w14:val="tx1">
                <w14:lumMod w14:val="95000"/>
                <w14:lumOff w14:val="5000"/>
              </w14:schemeClr>
            </w14:solidFill>
          </w14:textFill>
        </w:rPr>
      </w:pPr>
      <w:bookmarkStart w:id="20" w:name="_Toc139463631"/>
      <w:bookmarkStart w:id="21" w:name="_Toc141945351"/>
      <w:bookmarkStart w:id="22" w:name="_Toc139462832"/>
      <w:bookmarkStart w:id="23" w:name="_Toc120443090"/>
      <w:bookmarkStart w:id="24" w:name="_Toc139464396"/>
      <w:r>
        <w:rPr>
          <w:rFonts w:hint="eastAsia" w:ascii="仿宋" w:hAnsi="仿宋" w:eastAsia="仿宋" w:cs="仿宋"/>
          <w:color w:val="0D0D0D" w:themeColor="text1" w:themeTint="F2"/>
          <w:sz w:val="22"/>
          <w:szCs w:val="24"/>
          <w14:textFill>
            <w14:solidFill>
              <w14:schemeClr w14:val="tx1">
                <w14:lumMod w14:val="95000"/>
                <w14:lumOff w14:val="5000"/>
              </w14:schemeClr>
            </w14:solidFill>
          </w14:textFill>
        </w:rPr>
        <w:t>附件二　廉政合同</w:t>
      </w:r>
      <w:bookmarkEnd w:id="20"/>
      <w:bookmarkEnd w:id="21"/>
      <w:bookmarkEnd w:id="22"/>
      <w:bookmarkEnd w:id="23"/>
      <w:bookmarkEnd w:id="24"/>
    </w:p>
    <w:p w14:paraId="45AA45CD">
      <w:pPr>
        <w:widowControl/>
        <w:spacing w:line="276" w:lineRule="auto"/>
        <w:jc w:val="center"/>
        <w:rPr>
          <w:rFonts w:hint="eastAsia" w:ascii="仿宋" w:hAnsi="仿宋" w:eastAsia="仿宋" w:cs="仿宋"/>
          <w:color w:val="0D0D0D" w:themeColor="text1" w:themeTint="F2"/>
          <w:kern w:val="0"/>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8"/>
          <w:szCs w:val="28"/>
          <w14:textFill>
            <w14:solidFill>
              <w14:schemeClr w14:val="tx1">
                <w14:lumMod w14:val="95000"/>
                <w14:lumOff w14:val="5000"/>
              </w14:schemeClr>
            </w14:solidFill>
          </w14:textFill>
        </w:rPr>
        <w:t>廉政合同</w:t>
      </w:r>
    </w:p>
    <w:p w14:paraId="39D5321C">
      <w:pPr>
        <w:widowControl/>
        <w:spacing w:line="276" w:lineRule="auto"/>
        <w:ind w:firstLine="440" w:firstLineChars="200"/>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根据《关于在交通基础设施建设中加强廉政建设的若干意见》以及有关工程建设、廉政建设的规定，为做好工程建设中的党风廉政建设，保证工程建设高效优质，保证建设资金的安全</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和有效使用以及投资效益，</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（项目名称）</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的项目法人</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（项目法人名称，以下简称“发包人”）与该项目</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标段的施工单位</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（施工单位名称，以下简称“承包人”），特订立如下合同。</w:t>
      </w:r>
    </w:p>
    <w:p w14:paraId="75794350">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1.发包人和承包人双方的权利和义务</w:t>
      </w:r>
    </w:p>
    <w:p w14:paraId="02A6DB09">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（1）严格遵守党的政策规定和国家在关法律法规及交通运输部的有关规定。</w:t>
      </w:r>
    </w:p>
    <w:p w14:paraId="67A9BFB7">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（2）严格执行</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（项目名称）</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标段施工合同文件，自觉按合同办事。</w:t>
      </w:r>
    </w:p>
    <w:p w14:paraId="76CF7D98">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（3）双方的业务活动坚持公开、公正、诚信、透明的原则（法律认定的商业秘密和合同文件另有规定除外），不得损害国家和集体利益，不得违反工程建设管理规章制度。</w:t>
      </w:r>
    </w:p>
    <w:p w14:paraId="75205FA6">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（4）建立健全廉政制度，开展廉政教育，设立廉政告示牌，公布举报电话，监督并认真查处违法违纪行为。</w:t>
      </w:r>
    </w:p>
    <w:p w14:paraId="3D77E3C7">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（5）发现对方在业务活动中有违反廉政规定的行为，有及时提醒对方纠正的权利和义务。</w:t>
      </w:r>
    </w:p>
    <w:p w14:paraId="4CBFCFB2">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（6）发现对方严重违反本合同义务条款的行为，有向其上级有关部门举报、建议给予处理并要求告知处理结果的权利。</w:t>
      </w:r>
    </w:p>
    <w:p w14:paraId="6697B3EA">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2.发包人的义务</w:t>
      </w:r>
    </w:p>
    <w:p w14:paraId="1E910598">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（1）发包人及其工作人员不得索要或接受承包人的礼金、有价证券和贵重物品，不得让承包人报销任何应由发包人或发包人工作人员个人支付的费用等。</w:t>
      </w:r>
    </w:p>
    <w:p w14:paraId="0CB62D3A">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（2）发包人工作人员不得参加承包人安排的超标准宴请和娱乐活动；不得接受承包人提供的通讯工具、交通工具和高档办公用品等。</w:t>
      </w:r>
    </w:p>
    <w:p w14:paraId="0C0FE363">
      <w:pPr>
        <w:widowControl/>
        <w:spacing w:line="276" w:lineRule="auto"/>
        <w:ind w:firstLine="550" w:firstLineChars="250"/>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（3）发包人及其工作人员不得要求或者接受承包人为其住房装修、婚丧嫁娶活动、配偶子女的工作安排以及出国出境、旅游等提供方便等。</w:t>
      </w:r>
    </w:p>
    <w:p w14:paraId="5C065615">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（4）发包人工作人员及其配偶、子女不得从事与发包人工程有关的材料设备供应、工程分包、劳务等经济活动等。</w:t>
      </w:r>
    </w:p>
    <w:p w14:paraId="6AE21F21">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（5）发包人及其工作人员不得以任何理由向承包人推荐分包单位或推销材料，不得要求承包人购买合同规定外的材料和设备。</w:t>
      </w:r>
    </w:p>
    <w:p w14:paraId="36EE24E7">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（6）发包人工作人员要秉公办事，不准营私舞弊，不准利用职权从事各种个人有偿中介活动和安排个人施工队伍。</w:t>
      </w:r>
    </w:p>
    <w:p w14:paraId="62D914DF">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3.承包人义务</w:t>
      </w:r>
    </w:p>
    <w:p w14:paraId="0C977542">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（1）承包人不得以任何理由向发包人及其工作人员行贿或馈赠礼金、有价证券、贵重礼品。</w:t>
      </w:r>
    </w:p>
    <w:p w14:paraId="5FCD3F06">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（2）承包人不得以任何名义为发包人及其工作人员报销应由发包人单位或个人支付的任何费用。</w:t>
      </w:r>
    </w:p>
    <w:p w14:paraId="4DFDB256">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（3）承包人不得以任何理由安排发包人工作人员参加超标准宴请及娱乐活动。</w:t>
      </w:r>
    </w:p>
    <w:p w14:paraId="2DA7852D">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（4）承包人不得为发包人单位和个人购置或提供通讯工具、交通工具和高档办公用品等。</w:t>
      </w:r>
    </w:p>
    <w:p w14:paraId="3029F7D6">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4.违约责任</w:t>
      </w:r>
    </w:p>
    <w:p w14:paraId="139F4751">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（1）发包人及其工作人员违反本合同第1、2条，按管理权限，依据有关规定给予党纪、政纪或组织处理；涉嫌犯罪的，移交司法机关追究刑事责任；给承包人单位造成经济损失的，应予以赔偿。</w:t>
      </w:r>
    </w:p>
    <w:p w14:paraId="0F7BEAE8">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2）承包人及其工作人员违反本合同第1、3条，按管理权限，依据有关规定给予党纪、政纪或组织处理；给发包人单位造成经济损失的，应予以赔偿；情节严重的，发包人建议交通工程建设主管部门给予承包人一至三年内不得进入其主管的交通工程建设市场的处罚。</w:t>
      </w:r>
    </w:p>
    <w:p w14:paraId="16EB35C5">
      <w:pPr>
        <w:widowControl/>
        <w:spacing w:line="276" w:lineRule="auto"/>
        <w:ind w:firstLine="440" w:firstLineChars="200"/>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5.双方约定：本合同由双方或双方上级单位的纪检监察机关负责监督执行。由发包人或发包人上级单位的纪检监察部门约请承包人或承包人上级单位纪检监察部门对本合同执行情况进行检查，提出在本合同规定范围内的裁定意见。</w:t>
      </w:r>
    </w:p>
    <w:p w14:paraId="1BC29462">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6.本合同有效期为发包人和承包人签署之日起至该工程项目竣工验收后止。</w:t>
      </w:r>
    </w:p>
    <w:p w14:paraId="36120536">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7.本合同作为</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（项目名称</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标段施工合同的附件，与工程施工合同具有同等的法律效力，经合同双方签署后立即生效。</w:t>
      </w:r>
    </w:p>
    <w:p w14:paraId="46C67611">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8.本合同一式四份，由发包人和承包人各执一份，送交发包人和承包人的监督单位各一份。</w:t>
      </w:r>
    </w:p>
    <w:p w14:paraId="24526E53">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p>
    <w:p w14:paraId="48AE055C">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发包人：</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（盖单位章）     承包人：</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（盖单位章）</w:t>
      </w:r>
    </w:p>
    <w:p w14:paraId="05C7963C">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法定代表人或其委托代理人：</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（签字）    法定代表人或其委托代理人：</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（签字）</w:t>
      </w:r>
    </w:p>
    <w:p w14:paraId="06987720">
      <w:pPr>
        <w:widowControl/>
        <w:spacing w:line="276" w:lineRule="auto"/>
        <w:ind w:firstLine="1320" w:firstLineChars="600"/>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xml:space="preserve">        　　　　　  </w:t>
      </w:r>
    </w:p>
    <w:p w14:paraId="2004BF0A">
      <w:pPr>
        <w:widowControl/>
        <w:spacing w:line="276" w:lineRule="auto"/>
        <w:ind w:firstLine="6050" w:firstLineChars="2750"/>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年</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xml:space="preserve">月 </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日</w:t>
      </w:r>
    </w:p>
    <w:p w14:paraId="7AF639D0">
      <w:pPr>
        <w:widowControl/>
        <w:spacing w:after="156" w:afterLines="50" w:line="276" w:lineRule="auto"/>
        <w:jc w:val="left"/>
        <w:rPr>
          <w:rFonts w:hint="eastAsia" w:ascii="仿宋" w:hAnsi="仿宋" w:eastAsia="仿宋" w:cs="仿宋"/>
          <w:color w:val="0D0D0D" w:themeColor="text1" w:themeTint="F2"/>
          <w:kern w:val="0"/>
          <w:szCs w:val="21"/>
          <w14:textFill>
            <w14:solidFill>
              <w14:schemeClr w14:val="tx1">
                <w14:lumMod w14:val="95000"/>
                <w14:lumOff w14:val="5000"/>
              </w14:schemeClr>
            </w14:solidFill>
          </w14:textFill>
        </w:rPr>
      </w:pPr>
    </w:p>
    <w:p w14:paraId="7EA7CCB2">
      <w:pPr>
        <w:widowControl/>
        <w:spacing w:after="156" w:afterLines="50"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p>
    <w:p w14:paraId="1383C455">
      <w:pPr>
        <w:widowControl/>
        <w:spacing w:after="156" w:afterLines="50"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p>
    <w:p w14:paraId="2E7C0ABA">
      <w:pPr>
        <w:widowControl/>
        <w:spacing w:after="156" w:afterLines="50"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p>
    <w:p w14:paraId="0EA4B908">
      <w:pPr>
        <w:widowControl/>
        <w:spacing w:after="156" w:afterLines="50"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p>
    <w:p w14:paraId="50E7F6B6">
      <w:pPr>
        <w:widowControl/>
        <w:spacing w:after="156" w:afterLines="50"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p>
    <w:p w14:paraId="3064E951">
      <w:pPr>
        <w:pStyle w:val="3"/>
        <w:ind w:firstLine="420"/>
        <w:rPr>
          <w:rFonts w:hint="eastAsia" w:ascii="仿宋" w:hAnsi="仿宋" w:eastAsia="仿宋" w:cs="仿宋"/>
          <w:color w:val="0D0D0D" w:themeColor="text1" w:themeTint="F2"/>
          <w14:textFill>
            <w14:solidFill>
              <w14:schemeClr w14:val="tx1">
                <w14:lumMod w14:val="95000"/>
                <w14:lumOff w14:val="5000"/>
              </w14:schemeClr>
            </w14:solidFill>
          </w14:textFill>
        </w:rPr>
      </w:pPr>
    </w:p>
    <w:p w14:paraId="2053081E">
      <w:pPr>
        <w:pStyle w:val="5"/>
        <w:rPr>
          <w:rFonts w:hint="eastAsia" w:ascii="仿宋" w:hAnsi="仿宋" w:eastAsia="仿宋" w:cs="仿宋"/>
          <w:color w:val="0D0D0D" w:themeColor="text1" w:themeTint="F2"/>
          <w14:textFill>
            <w14:solidFill>
              <w14:schemeClr w14:val="tx1">
                <w14:lumMod w14:val="95000"/>
                <w14:lumOff w14:val="5000"/>
              </w14:schemeClr>
            </w14:solidFill>
          </w14:textFill>
        </w:rPr>
      </w:pPr>
    </w:p>
    <w:p w14:paraId="2E419883">
      <w:pPr>
        <w:rPr>
          <w:rFonts w:hint="eastAsia" w:ascii="仿宋" w:hAnsi="仿宋" w:eastAsia="仿宋" w:cs="仿宋"/>
          <w:color w:val="0D0D0D" w:themeColor="text1" w:themeTint="F2"/>
          <w14:textFill>
            <w14:solidFill>
              <w14:schemeClr w14:val="tx1">
                <w14:lumMod w14:val="95000"/>
                <w14:lumOff w14:val="5000"/>
              </w14:schemeClr>
            </w14:solidFill>
          </w14:textFill>
        </w:rPr>
      </w:pPr>
    </w:p>
    <w:p w14:paraId="02491E4A">
      <w:pPr>
        <w:pStyle w:val="4"/>
        <w:rPr>
          <w:rFonts w:hint="eastAsia" w:ascii="仿宋" w:hAnsi="仿宋" w:eastAsia="仿宋" w:cs="仿宋"/>
        </w:rPr>
      </w:pPr>
    </w:p>
    <w:p w14:paraId="4B6CD77B">
      <w:pPr>
        <w:pStyle w:val="4"/>
        <w:rPr>
          <w:rFonts w:hint="eastAsia" w:ascii="仿宋" w:hAnsi="仿宋" w:eastAsia="仿宋" w:cs="仿宋"/>
        </w:rPr>
      </w:pPr>
    </w:p>
    <w:p w14:paraId="7B1A8F01">
      <w:pPr>
        <w:pStyle w:val="4"/>
        <w:rPr>
          <w:rFonts w:hint="eastAsia" w:ascii="仿宋" w:hAnsi="仿宋" w:eastAsia="仿宋" w:cs="仿宋"/>
        </w:rPr>
      </w:pPr>
    </w:p>
    <w:p w14:paraId="28D1CDD8">
      <w:pPr>
        <w:pStyle w:val="4"/>
        <w:rPr>
          <w:rFonts w:hint="eastAsia" w:ascii="仿宋" w:hAnsi="仿宋" w:eastAsia="仿宋" w:cs="仿宋"/>
        </w:rPr>
      </w:pPr>
    </w:p>
    <w:p w14:paraId="1F853519">
      <w:pPr>
        <w:pStyle w:val="4"/>
        <w:rPr>
          <w:rFonts w:hint="eastAsia" w:ascii="仿宋" w:hAnsi="仿宋" w:eastAsia="仿宋" w:cs="仿宋"/>
        </w:rPr>
      </w:pPr>
    </w:p>
    <w:p w14:paraId="3588D54A">
      <w:pPr>
        <w:pStyle w:val="4"/>
        <w:rPr>
          <w:rFonts w:hint="eastAsia" w:ascii="仿宋" w:hAnsi="仿宋" w:eastAsia="仿宋" w:cs="仿宋"/>
        </w:rPr>
      </w:pPr>
    </w:p>
    <w:p w14:paraId="0CEDB466">
      <w:pPr>
        <w:pStyle w:val="4"/>
        <w:rPr>
          <w:rFonts w:hint="eastAsia" w:ascii="仿宋" w:hAnsi="仿宋" w:eastAsia="仿宋" w:cs="仿宋"/>
        </w:rPr>
      </w:pPr>
    </w:p>
    <w:p w14:paraId="1E2C9B41">
      <w:pPr>
        <w:pStyle w:val="4"/>
        <w:rPr>
          <w:rFonts w:hint="eastAsia" w:ascii="仿宋" w:hAnsi="仿宋" w:eastAsia="仿宋" w:cs="仿宋"/>
        </w:rPr>
      </w:pPr>
    </w:p>
    <w:p w14:paraId="39C44691">
      <w:pPr>
        <w:pStyle w:val="4"/>
        <w:rPr>
          <w:rFonts w:hint="eastAsia" w:ascii="仿宋" w:hAnsi="仿宋" w:eastAsia="仿宋" w:cs="仿宋"/>
        </w:rPr>
      </w:pPr>
    </w:p>
    <w:p w14:paraId="4FBE8E4C">
      <w:pPr>
        <w:pStyle w:val="4"/>
        <w:rPr>
          <w:rFonts w:hint="eastAsia" w:ascii="仿宋" w:hAnsi="仿宋" w:eastAsia="仿宋" w:cs="仿宋"/>
        </w:rPr>
      </w:pPr>
    </w:p>
    <w:p w14:paraId="67311B2D">
      <w:pPr>
        <w:pStyle w:val="4"/>
        <w:rPr>
          <w:rFonts w:hint="eastAsia" w:ascii="仿宋" w:hAnsi="仿宋" w:eastAsia="仿宋" w:cs="仿宋"/>
        </w:rPr>
      </w:pPr>
    </w:p>
    <w:p w14:paraId="51D6107D">
      <w:pPr>
        <w:pStyle w:val="2"/>
        <w:snapToGrid w:val="0"/>
        <w:spacing w:before="0" w:after="0" w:line="240" w:lineRule="auto"/>
        <w:ind w:firstLine="440"/>
        <w:contextualSpacing/>
        <w:rPr>
          <w:rFonts w:hint="eastAsia" w:ascii="仿宋" w:hAnsi="仿宋" w:eastAsia="仿宋" w:cs="仿宋"/>
          <w:color w:val="0D0D0D" w:themeColor="text1" w:themeTint="F2"/>
          <w:sz w:val="22"/>
          <w:szCs w:val="24"/>
          <w14:textFill>
            <w14:solidFill>
              <w14:schemeClr w14:val="tx1">
                <w14:lumMod w14:val="95000"/>
                <w14:lumOff w14:val="5000"/>
              </w14:schemeClr>
            </w14:solidFill>
          </w14:textFill>
        </w:rPr>
      </w:pPr>
      <w:bookmarkStart w:id="25" w:name="_Toc141945352"/>
      <w:bookmarkStart w:id="26" w:name="_Toc120443091"/>
      <w:bookmarkStart w:id="27" w:name="_Toc139462833"/>
      <w:bookmarkStart w:id="28" w:name="_Toc139463632"/>
      <w:bookmarkStart w:id="29" w:name="_Toc139464397"/>
      <w:r>
        <w:rPr>
          <w:rFonts w:hint="eastAsia" w:ascii="仿宋" w:hAnsi="仿宋" w:eastAsia="仿宋" w:cs="仿宋"/>
          <w:color w:val="0D0D0D" w:themeColor="text1" w:themeTint="F2"/>
          <w:sz w:val="22"/>
          <w:szCs w:val="24"/>
          <w14:textFill>
            <w14:solidFill>
              <w14:schemeClr w14:val="tx1">
                <w14:lumMod w14:val="95000"/>
                <w14:lumOff w14:val="5000"/>
              </w14:schemeClr>
            </w14:solidFill>
          </w14:textFill>
        </w:rPr>
        <w:t>附件三　安全生产合同</w:t>
      </w:r>
      <w:bookmarkEnd w:id="25"/>
      <w:bookmarkEnd w:id="26"/>
      <w:bookmarkEnd w:id="27"/>
      <w:bookmarkEnd w:id="28"/>
      <w:bookmarkEnd w:id="29"/>
    </w:p>
    <w:p w14:paraId="0877DFB2">
      <w:pPr>
        <w:widowControl/>
        <w:spacing w:after="200" w:line="276" w:lineRule="auto"/>
        <w:jc w:val="center"/>
        <w:rPr>
          <w:rFonts w:hint="eastAsia" w:ascii="仿宋" w:hAnsi="仿宋" w:eastAsia="仿宋" w:cs="仿宋"/>
          <w:color w:val="0D0D0D" w:themeColor="text1" w:themeTint="F2"/>
          <w:kern w:val="0"/>
          <w:sz w:val="20"/>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4"/>
          <w:szCs w:val="28"/>
          <w14:textFill>
            <w14:solidFill>
              <w14:schemeClr w14:val="tx1">
                <w14:lumMod w14:val="95000"/>
                <w14:lumOff w14:val="5000"/>
              </w14:schemeClr>
            </w14:solidFill>
          </w14:textFill>
        </w:rPr>
        <w:t>安全生产合同</w:t>
      </w:r>
    </w:p>
    <w:p w14:paraId="626A1EF8">
      <w:pPr>
        <w:snapToGrid w:val="0"/>
        <w:spacing w:line="360" w:lineRule="auto"/>
        <w:ind w:firstLine="431" w:firstLineChars="196"/>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为在</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（项目名称）施工合同的实施过程中创造安全、高效的施工环境，切实搞好本项目的安全管理工作，本项目发包人</w:t>
      </w:r>
      <w:r>
        <w:rPr>
          <w:rFonts w:hint="eastAsia" w:ascii="仿宋" w:hAnsi="仿宋" w:eastAsia="仿宋" w:cs="仿宋"/>
          <w:color w:val="0D0D0D" w:themeColor="text1" w:themeTint="F2"/>
          <w:sz w:val="22"/>
          <w:u w:val="single"/>
          <w:lang w:val="en-US" w:eastAsia="zh-CN"/>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（发包人名称，以下简称“发包人”）与承包人</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2"/>
          <w:u w:val="single"/>
          <w:lang w:val="en-US" w:eastAsia="zh-CN"/>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（承包人名称，以下简称“承包人”）特此签订安全生产合同：</w:t>
      </w:r>
    </w:p>
    <w:p w14:paraId="532A6482">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1.发包人职责</w:t>
      </w:r>
    </w:p>
    <w:p w14:paraId="46383340">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（1）严格遵守国家有关安全生产的法律法规，认真执行工程承包合同中的有关安全要求,达到“零死亡”安全管理目标。 </w:t>
      </w:r>
    </w:p>
    <w:p w14:paraId="2863A329">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（2）按照“安全第一、预防为主”和坚持“管生产必须管安全”的原则进行安全生产管理，做到生产与安全工作同时计划、布置、检查、总结和评比。</w:t>
      </w:r>
    </w:p>
    <w:p w14:paraId="2B61C946">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（3）重要的安全设施必须坚持与主体工程“三同时”的原则，即：同时设计、审批，同时施工，同时验收，投入使用。</w:t>
      </w:r>
    </w:p>
    <w:p w14:paraId="1D089F28">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（4）定期召开安全生产调度会，及时传达中央及地方有关安全生产的精神。</w:t>
      </w:r>
    </w:p>
    <w:p w14:paraId="6FB8A7B7">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（5）组织对承包人施工现场进行安全生产检查，监督承包人及时处理发现的各种安全隐患。</w:t>
      </w:r>
    </w:p>
    <w:p w14:paraId="183D7B61">
      <w:pPr>
        <w:snapToGrid w:val="0"/>
        <w:spacing w:line="360" w:lineRule="auto"/>
        <w:ind w:firstLine="220" w:firstLineChars="1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（6）严格遵守国家有关安全生产的法律法规，认真执行工程承包合同中的有关安全要求。</w:t>
      </w:r>
    </w:p>
    <w:p w14:paraId="095375B6">
      <w:pPr>
        <w:snapToGrid w:val="0"/>
        <w:spacing w:line="360" w:lineRule="auto"/>
        <w:ind w:firstLine="220" w:firstLineChars="1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2.承包人职责</w:t>
      </w:r>
    </w:p>
    <w:p w14:paraId="2978D68E">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（1）严格遵守国家有关安全生产的法律法规，认真执行工程承包合同中的有关安全要求,达到“零死亡”安全管理目标。</w:t>
      </w:r>
    </w:p>
    <w:p w14:paraId="2C467929">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1177C115">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06DF497D">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（4）承包人在任何时候都应采用各种合理的预防措施，防止其员工发生任何违法、违禁、暴力或妨碍治安的行为。</w:t>
      </w:r>
    </w:p>
    <w:p w14:paraId="52EC55C1">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4ECC64FA">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6）对于易燃易爆的材料除应专门妥善保管之外，还应配备有足够的消防设施，所有施工人员应熟悉消防设备的性能和使用方法；承包人不得将任何种类的爆炸物给予、易货或以其他方式转让给任何其他人，或允许、容忍上述同样行为。</w:t>
      </w:r>
    </w:p>
    <w:p w14:paraId="7935C55B">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（7）操作人员上岗，必须按规定穿戴防护用品。施工负责人和安全检查员应随时检查劳动防护用品的穿戴情况，不按规定穿戴防护用品的人员不得上岗。</w:t>
      </w:r>
    </w:p>
    <w:p w14:paraId="0C030703">
      <w:pPr>
        <w:snapToGrid w:val="0"/>
        <w:spacing w:line="360" w:lineRule="auto"/>
        <w:ind w:firstLine="220" w:firstLineChars="1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（8）所有施工机具设备和高空作业的设备均应定期检查，并有安全员的签字记录，保证其经常处于完好状态；不合格的机具、设备和劳保护用品严禁使用。</w:t>
      </w:r>
    </w:p>
    <w:p w14:paraId="383B230A">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（9）施工中采用新技术、新工艺、新设备、新材料时，必须制定相应的安全技术措施，施工现场必须具有相关的安全标志牌。</w:t>
      </w:r>
    </w:p>
    <w:p w14:paraId="07CE8CA5">
      <w:pPr>
        <w:snapToGrid w:val="0"/>
        <w:spacing w:line="360" w:lineRule="auto"/>
        <w:ind w:firstLine="42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10）承包人必须按照本工程项目特点，组织制定本工程实施中的生产安全事故应急救援预案；如果发生安全事故，应按照《国务院关于特大安全事故行政责任追究的规定》以及其它有关规定，及时上报有关部门，并坚持“四不放过”的原则，严肃处理相关责任人。</w:t>
      </w:r>
    </w:p>
    <w:p w14:paraId="0FD9C133">
      <w:pPr>
        <w:snapToGrid w:val="0"/>
        <w:spacing w:line="360" w:lineRule="auto"/>
        <w:ind w:firstLine="42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（11）安全生产费用按照《公路水运工程安全生产监督管理办法》的相关规定使用和管理。</w:t>
      </w:r>
    </w:p>
    <w:p w14:paraId="0C221A16">
      <w:pPr>
        <w:snapToGrid w:val="0"/>
        <w:spacing w:line="360"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12）严格遵守《中华人民共和国安全生产法》、《建设工程安全生产管理条例》等国家有关安全生的法律法规、《公路水运工程安全生产监督管理办法》、《公路工程施工安全技术规程》和《公路筑养路机械操作规程》有关安全生产的规定。认真执行工程承包合同中的有关安全要求。</w:t>
      </w:r>
    </w:p>
    <w:p w14:paraId="7C27E6EE">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3.违约责任</w:t>
      </w:r>
    </w:p>
    <w:p w14:paraId="2732080F">
      <w:pPr>
        <w:snapToGrid w:val="0"/>
        <w:spacing w:line="360" w:lineRule="auto"/>
        <w:ind w:firstLine="42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如因发包人或承包人违约造成安全事故，将依法追究责任。</w:t>
      </w:r>
    </w:p>
    <w:p w14:paraId="3C39D659">
      <w:pPr>
        <w:snapToGrid w:val="0"/>
        <w:spacing w:line="360" w:lineRule="auto"/>
        <w:ind w:firstLine="220" w:firstLineChars="1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4.本合同由双方法定代表人或其授权的代理人签署并加盖单位章后生效，全部工程竣工验收后失效。</w:t>
      </w:r>
    </w:p>
    <w:p w14:paraId="2C9D0250">
      <w:pPr>
        <w:snapToGrid w:val="0"/>
        <w:spacing w:line="360" w:lineRule="auto"/>
        <w:ind w:firstLine="220" w:firstLineChars="1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5.本合同正本二份，副本</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份，合同双方各执正本一份，副本</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份，当正本与副本的内容不一致时，以正本为准。</w:t>
      </w:r>
    </w:p>
    <w:p w14:paraId="35756676">
      <w:pPr>
        <w:snapToGrid w:val="0"/>
        <w:spacing w:line="360" w:lineRule="auto"/>
        <w:ind w:firstLine="420"/>
        <w:rPr>
          <w:rFonts w:hint="eastAsia" w:ascii="仿宋" w:hAnsi="仿宋" w:eastAsia="仿宋" w:cs="仿宋"/>
          <w:color w:val="0D0D0D" w:themeColor="text1" w:themeTint="F2"/>
          <w:sz w:val="20"/>
          <w14:textFill>
            <w14:solidFill>
              <w14:schemeClr w14:val="tx1">
                <w14:lumMod w14:val="95000"/>
                <w14:lumOff w14:val="5000"/>
              </w14:schemeClr>
            </w14:solidFill>
          </w14:textFill>
        </w:rPr>
      </w:pPr>
      <w:r>
        <w:rPr>
          <w:rFonts w:hint="eastAsia" w:ascii="仿宋" w:hAnsi="仿宋" w:eastAsia="仿宋" w:cs="仿宋"/>
          <w:color w:val="0D0D0D" w:themeColor="text1" w:themeTint="F2"/>
          <w:sz w:val="20"/>
          <w14:textFill>
            <w14:solidFill>
              <w14:schemeClr w14:val="tx1">
                <w14:lumMod w14:val="95000"/>
                <w14:lumOff w14:val="5000"/>
              </w14:schemeClr>
            </w14:solidFill>
          </w14:textFill>
        </w:rPr>
        <w:t xml:space="preserve"> 发包人：</w:t>
      </w:r>
      <w:r>
        <w:rPr>
          <w:rFonts w:hint="eastAsia" w:ascii="仿宋" w:hAnsi="仿宋" w:eastAsia="仿宋" w:cs="仿宋"/>
          <w:color w:val="0D0D0D" w:themeColor="text1" w:themeTint="F2"/>
          <w:sz w:val="20"/>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0"/>
          <w14:textFill>
            <w14:solidFill>
              <w14:schemeClr w14:val="tx1">
                <w14:lumMod w14:val="95000"/>
                <w14:lumOff w14:val="5000"/>
              </w14:schemeClr>
            </w14:solidFill>
          </w14:textFill>
        </w:rPr>
        <w:t>（盖单位章）     承包人：</w:t>
      </w:r>
      <w:r>
        <w:rPr>
          <w:rFonts w:hint="eastAsia" w:ascii="仿宋" w:hAnsi="仿宋" w:eastAsia="仿宋" w:cs="仿宋"/>
          <w:color w:val="0D0D0D" w:themeColor="text1" w:themeTint="F2"/>
          <w:sz w:val="20"/>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0"/>
          <w14:textFill>
            <w14:solidFill>
              <w14:schemeClr w14:val="tx1">
                <w14:lumMod w14:val="95000"/>
                <w14:lumOff w14:val="5000"/>
              </w14:schemeClr>
            </w14:solidFill>
          </w14:textFill>
        </w:rPr>
        <w:t>（盖单位章）</w:t>
      </w:r>
    </w:p>
    <w:p w14:paraId="3DE231FE">
      <w:pPr>
        <w:snapToGrid w:val="0"/>
        <w:spacing w:line="360" w:lineRule="auto"/>
        <w:rPr>
          <w:rFonts w:hint="eastAsia" w:ascii="仿宋" w:hAnsi="仿宋" w:eastAsia="仿宋" w:cs="仿宋"/>
          <w:color w:val="0D0D0D" w:themeColor="text1" w:themeTint="F2"/>
          <w:sz w:val="20"/>
          <w14:textFill>
            <w14:solidFill>
              <w14:schemeClr w14:val="tx1">
                <w14:lumMod w14:val="95000"/>
                <w14:lumOff w14:val="5000"/>
              </w14:schemeClr>
            </w14:solidFill>
          </w14:textFill>
        </w:rPr>
      </w:pPr>
      <w:r>
        <w:rPr>
          <w:rFonts w:hint="eastAsia" w:ascii="仿宋" w:hAnsi="仿宋" w:eastAsia="仿宋" w:cs="仿宋"/>
          <w:color w:val="0D0D0D" w:themeColor="text1" w:themeTint="F2"/>
          <w:sz w:val="20"/>
          <w14:textFill>
            <w14:solidFill>
              <w14:schemeClr w14:val="tx1">
                <w14:lumMod w14:val="95000"/>
                <w14:lumOff w14:val="5000"/>
              </w14:schemeClr>
            </w14:solidFill>
          </w14:textFill>
        </w:rPr>
        <w:t>法定代表人或其委托代理人：</w:t>
      </w:r>
      <w:r>
        <w:rPr>
          <w:rFonts w:hint="eastAsia" w:ascii="仿宋" w:hAnsi="仿宋" w:eastAsia="仿宋" w:cs="仿宋"/>
          <w:color w:val="0D0D0D" w:themeColor="text1" w:themeTint="F2"/>
          <w:sz w:val="20"/>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0"/>
          <w14:textFill>
            <w14:solidFill>
              <w14:schemeClr w14:val="tx1">
                <w14:lumMod w14:val="95000"/>
                <w14:lumOff w14:val="5000"/>
              </w14:schemeClr>
            </w14:solidFill>
          </w14:textFill>
        </w:rPr>
        <w:t>（签字）   法定代表人或其委托代理人：</w:t>
      </w:r>
      <w:r>
        <w:rPr>
          <w:rFonts w:hint="eastAsia" w:ascii="仿宋" w:hAnsi="仿宋" w:eastAsia="仿宋" w:cs="仿宋"/>
          <w:color w:val="0D0D0D" w:themeColor="text1" w:themeTint="F2"/>
          <w:sz w:val="20"/>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0"/>
          <w14:textFill>
            <w14:solidFill>
              <w14:schemeClr w14:val="tx1">
                <w14:lumMod w14:val="95000"/>
                <w14:lumOff w14:val="5000"/>
              </w14:schemeClr>
            </w14:solidFill>
          </w14:textFill>
        </w:rPr>
        <w:t>（签字）</w:t>
      </w:r>
    </w:p>
    <w:p w14:paraId="5E84ACCF">
      <w:pPr>
        <w:snapToGrid w:val="0"/>
        <w:spacing w:line="360" w:lineRule="auto"/>
        <w:ind w:firstLine="1200" w:firstLineChars="600"/>
        <w:rPr>
          <w:rFonts w:hint="eastAsia" w:ascii="仿宋" w:hAnsi="仿宋" w:eastAsia="仿宋" w:cs="仿宋"/>
          <w:color w:val="0D0D0D" w:themeColor="text1" w:themeTint="F2"/>
          <w:sz w:val="20"/>
          <w14:textFill>
            <w14:solidFill>
              <w14:schemeClr w14:val="tx1">
                <w14:lumMod w14:val="95000"/>
                <w14:lumOff w14:val="5000"/>
              </w14:schemeClr>
            </w14:solidFill>
          </w14:textFill>
        </w:rPr>
      </w:pPr>
      <w:r>
        <w:rPr>
          <w:rFonts w:hint="eastAsia" w:ascii="仿宋" w:hAnsi="仿宋" w:eastAsia="仿宋" w:cs="仿宋"/>
          <w:color w:val="0D0D0D" w:themeColor="text1" w:themeTint="F2"/>
          <w:sz w:val="20"/>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0"/>
          <w14:textFill>
            <w14:solidFill>
              <w14:schemeClr w14:val="tx1">
                <w14:lumMod w14:val="95000"/>
                <w14:lumOff w14:val="5000"/>
              </w14:schemeClr>
            </w14:solidFill>
          </w14:textFill>
        </w:rPr>
        <w:t>年</w:t>
      </w:r>
      <w:r>
        <w:rPr>
          <w:rFonts w:hint="eastAsia" w:ascii="仿宋" w:hAnsi="仿宋" w:eastAsia="仿宋" w:cs="仿宋"/>
          <w:color w:val="0D0D0D" w:themeColor="text1" w:themeTint="F2"/>
          <w:sz w:val="20"/>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0"/>
          <w14:textFill>
            <w14:solidFill>
              <w14:schemeClr w14:val="tx1">
                <w14:lumMod w14:val="95000"/>
                <w14:lumOff w14:val="5000"/>
              </w14:schemeClr>
            </w14:solidFill>
          </w14:textFill>
        </w:rPr>
        <w:t xml:space="preserve">月 </w:t>
      </w:r>
      <w:r>
        <w:rPr>
          <w:rFonts w:hint="eastAsia" w:ascii="仿宋" w:hAnsi="仿宋" w:eastAsia="仿宋" w:cs="仿宋"/>
          <w:color w:val="0D0D0D" w:themeColor="text1" w:themeTint="F2"/>
          <w:sz w:val="20"/>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0"/>
          <w14:textFill>
            <w14:solidFill>
              <w14:schemeClr w14:val="tx1">
                <w14:lumMod w14:val="95000"/>
                <w14:lumOff w14:val="5000"/>
              </w14:schemeClr>
            </w14:solidFill>
          </w14:textFill>
        </w:rPr>
        <w:t xml:space="preserve">日             </w:t>
      </w:r>
      <w:r>
        <w:rPr>
          <w:rFonts w:hint="eastAsia" w:ascii="仿宋" w:hAnsi="仿宋" w:eastAsia="仿宋" w:cs="仿宋"/>
          <w:color w:val="0D0D0D" w:themeColor="text1" w:themeTint="F2"/>
          <w:sz w:val="20"/>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0"/>
          <w14:textFill>
            <w14:solidFill>
              <w14:schemeClr w14:val="tx1">
                <w14:lumMod w14:val="95000"/>
                <w14:lumOff w14:val="5000"/>
              </w14:schemeClr>
            </w14:solidFill>
          </w14:textFill>
        </w:rPr>
        <w:t>年</w:t>
      </w:r>
      <w:r>
        <w:rPr>
          <w:rFonts w:hint="eastAsia" w:ascii="仿宋" w:hAnsi="仿宋" w:eastAsia="仿宋" w:cs="仿宋"/>
          <w:color w:val="0D0D0D" w:themeColor="text1" w:themeTint="F2"/>
          <w:sz w:val="20"/>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0"/>
          <w14:textFill>
            <w14:solidFill>
              <w14:schemeClr w14:val="tx1">
                <w14:lumMod w14:val="95000"/>
                <w14:lumOff w14:val="5000"/>
              </w14:schemeClr>
            </w14:solidFill>
          </w14:textFill>
        </w:rPr>
        <w:t xml:space="preserve">月 </w:t>
      </w:r>
      <w:r>
        <w:rPr>
          <w:rFonts w:hint="eastAsia" w:ascii="仿宋" w:hAnsi="仿宋" w:eastAsia="仿宋" w:cs="仿宋"/>
          <w:color w:val="0D0D0D" w:themeColor="text1" w:themeTint="F2"/>
          <w:sz w:val="20"/>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0"/>
          <w14:textFill>
            <w14:solidFill>
              <w14:schemeClr w14:val="tx1">
                <w14:lumMod w14:val="95000"/>
                <w14:lumOff w14:val="5000"/>
              </w14:schemeClr>
            </w14:solidFill>
          </w14:textFill>
        </w:rPr>
        <w:t>日</w:t>
      </w:r>
    </w:p>
    <w:p w14:paraId="62A9D869">
      <w:pPr>
        <w:pStyle w:val="5"/>
        <w:rPr>
          <w:rFonts w:hint="eastAsia" w:ascii="仿宋" w:hAnsi="仿宋" w:eastAsia="仿宋" w:cs="仿宋"/>
          <w:color w:val="0D0D0D" w:themeColor="text1" w:themeTint="F2"/>
          <w14:textFill>
            <w14:solidFill>
              <w14:schemeClr w14:val="tx1">
                <w14:lumMod w14:val="95000"/>
                <w14:lumOff w14:val="5000"/>
              </w14:schemeClr>
            </w14:solidFill>
          </w14:textFill>
        </w:rPr>
      </w:pPr>
    </w:p>
    <w:p w14:paraId="14480F44">
      <w:pPr>
        <w:pStyle w:val="2"/>
        <w:snapToGrid w:val="0"/>
        <w:spacing w:before="0" w:after="0" w:line="240" w:lineRule="auto"/>
        <w:ind w:firstLine="440"/>
        <w:contextualSpacing/>
        <w:rPr>
          <w:rFonts w:hint="eastAsia" w:ascii="仿宋" w:hAnsi="仿宋" w:eastAsia="仿宋" w:cs="仿宋"/>
          <w:color w:val="0D0D0D" w:themeColor="text1" w:themeTint="F2"/>
          <w:sz w:val="24"/>
          <w:szCs w:val="28"/>
          <w14:textFill>
            <w14:solidFill>
              <w14:schemeClr w14:val="tx1">
                <w14:lumMod w14:val="95000"/>
                <w14:lumOff w14:val="5000"/>
              </w14:schemeClr>
            </w14:solidFill>
          </w14:textFill>
        </w:rPr>
      </w:pPr>
      <w:bookmarkStart w:id="30" w:name="_Toc139463633"/>
      <w:bookmarkStart w:id="31" w:name="_Toc141945353"/>
      <w:bookmarkStart w:id="32" w:name="_Toc120443092"/>
      <w:bookmarkStart w:id="33" w:name="_Toc139462834"/>
      <w:bookmarkStart w:id="34" w:name="_Toc139464398"/>
    </w:p>
    <w:p w14:paraId="529389EA">
      <w:pPr>
        <w:pStyle w:val="2"/>
        <w:snapToGrid w:val="0"/>
        <w:spacing w:before="0" w:after="0" w:line="240" w:lineRule="auto"/>
        <w:ind w:firstLine="440"/>
        <w:contextualSpacing/>
        <w:rPr>
          <w:rFonts w:hint="eastAsia" w:ascii="仿宋" w:hAnsi="仿宋" w:eastAsia="仿宋" w:cs="仿宋"/>
          <w:color w:val="0D0D0D" w:themeColor="text1" w:themeTint="F2"/>
          <w:sz w:val="24"/>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4"/>
          <w:szCs w:val="28"/>
          <w14:textFill>
            <w14:solidFill>
              <w14:schemeClr w14:val="tx1">
                <w14:lumMod w14:val="95000"/>
                <w14:lumOff w14:val="5000"/>
              </w14:schemeClr>
            </w14:solidFill>
          </w14:textFill>
        </w:rPr>
        <w:t>附件四 环境保护合同</w:t>
      </w:r>
      <w:bookmarkEnd w:id="30"/>
      <w:bookmarkEnd w:id="31"/>
      <w:bookmarkEnd w:id="32"/>
      <w:bookmarkEnd w:id="33"/>
      <w:bookmarkEnd w:id="34"/>
    </w:p>
    <w:p w14:paraId="0C2D160D">
      <w:pPr>
        <w:snapToGrid w:val="0"/>
        <w:spacing w:line="276" w:lineRule="auto"/>
        <w:jc w:val="center"/>
        <w:rPr>
          <w:rFonts w:hint="eastAsia" w:ascii="仿宋" w:hAnsi="仿宋" w:eastAsia="仿宋" w:cs="仿宋"/>
          <w:bCs/>
          <w:color w:val="0D0D0D" w:themeColor="text1" w:themeTint="F2"/>
          <w:sz w:val="28"/>
          <w:szCs w:val="30"/>
          <w14:textFill>
            <w14:solidFill>
              <w14:schemeClr w14:val="tx1">
                <w14:lumMod w14:val="95000"/>
                <w14:lumOff w14:val="5000"/>
              </w14:schemeClr>
            </w14:solidFill>
          </w14:textFill>
        </w:rPr>
      </w:pPr>
      <w:bookmarkStart w:id="35" w:name="_Toc30508"/>
    </w:p>
    <w:p w14:paraId="1770A575">
      <w:pPr>
        <w:snapToGrid w:val="0"/>
        <w:spacing w:line="276" w:lineRule="auto"/>
        <w:jc w:val="center"/>
        <w:rPr>
          <w:rFonts w:hint="eastAsia" w:ascii="仿宋" w:hAnsi="仿宋" w:eastAsia="仿宋" w:cs="仿宋"/>
          <w:color w:val="0D0D0D" w:themeColor="text1" w:themeTint="F2"/>
          <w14:textFill>
            <w14:solidFill>
              <w14:schemeClr w14:val="tx1">
                <w14:lumMod w14:val="95000"/>
                <w14:lumOff w14:val="5000"/>
              </w14:schemeClr>
            </w14:solidFill>
          </w14:textFill>
        </w:rPr>
      </w:pPr>
      <w:r>
        <w:rPr>
          <w:rFonts w:hint="eastAsia" w:ascii="仿宋" w:hAnsi="仿宋" w:eastAsia="仿宋" w:cs="仿宋"/>
          <w:bCs/>
          <w:color w:val="0D0D0D" w:themeColor="text1" w:themeTint="F2"/>
          <w:sz w:val="24"/>
          <w:szCs w:val="30"/>
          <w14:textFill>
            <w14:solidFill>
              <w14:schemeClr w14:val="tx1">
                <w14:lumMod w14:val="95000"/>
                <w14:lumOff w14:val="5000"/>
              </w14:schemeClr>
            </w14:solidFill>
          </w14:textFill>
        </w:rPr>
        <w:t>施工环境保护协议书合同范本</w:t>
      </w:r>
      <w:bookmarkEnd w:id="35"/>
    </w:p>
    <w:p w14:paraId="0C791531">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甲 方：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ab/>
      </w:r>
    </w:p>
    <w:p w14:paraId="311C3D5C">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乙 方：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ab/>
      </w:r>
    </w:p>
    <w:p w14:paraId="2EF392D9">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为加强施工安全管理，依据《中华人民共和国合同法》、《中华人民共和国安全生产法》以及有关安全环保管理的法律法规，经甲乙双方共同协商，并本着自愿、公平、一致的原则，就乙方在为甲方提供工程服务过程中的安全施工环境保护事项达成如下协议。</w:t>
      </w:r>
    </w:p>
    <w:p w14:paraId="2819AA28">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第一条 工程概况</w:t>
      </w:r>
    </w:p>
    <w:p w14:paraId="7535F4FB">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一、工程名称：</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ab/>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w:t>
      </w:r>
    </w:p>
    <w:p w14:paraId="1DF4321D">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二、工程性质：</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ab/>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w:t>
      </w:r>
    </w:p>
    <w:p w14:paraId="235EBE98">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第二条 甲方的权利和义务</w:t>
      </w:r>
    </w:p>
    <w:p w14:paraId="05C17A1C">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一、甲方的权利：</w:t>
      </w:r>
    </w:p>
    <w:p w14:paraId="255E4EBA">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1、有权对乙方的资质和安全环保业绩进行审查。</w:t>
      </w:r>
    </w:p>
    <w:p w14:paraId="1B4C77A2">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2、有权要求乙方建立安全组织机构，严格执行国家安全环保法律法规及甲方和上级有关各项安全环保规章制度。</w:t>
      </w:r>
    </w:p>
    <w:p w14:paraId="300F4D33">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3、有权要求乙方针对作业项目制定健康安全环境的安全保证措施方案，并进行审查和备案。</w:t>
      </w:r>
    </w:p>
    <w:p w14:paraId="7D460F51">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4、有权要求乙方维护好甲方的安全环保设施、设备和器材。</w:t>
      </w:r>
    </w:p>
    <w:p w14:paraId="78F8E95B">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5、有权对乙方使用的设备、设施进行安全管理。</w:t>
      </w:r>
    </w:p>
    <w:p w14:paraId="5410AEE4">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6、有权对乙方施工作业现场的安全环保情况进行监督检查，有权按相关规定进行处罚或其它处理。</w:t>
      </w:r>
    </w:p>
    <w:p w14:paraId="229BA0A1">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7、发生事故后，有权根据有关规定组织、参与事故的调查。</w:t>
      </w:r>
    </w:p>
    <w:p w14:paraId="56AB661F">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二、甲方的义务：</w:t>
      </w:r>
    </w:p>
    <w:p w14:paraId="36F59A0D">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1、认真贯彻落实国家有关安全环保法律、法规、标准及规范和甲方及其上级有关安全环保规章制度。</w:t>
      </w:r>
    </w:p>
    <w:p w14:paraId="12362965">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2、对乙方进入甲方区域作业的人员进行入厂安全教育及办理相关入厂手续。</w:t>
      </w:r>
    </w:p>
    <w:p w14:paraId="3465DD34">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3、在作业前应对乙方进行安全交底，如向乙方提供与乙方作业相关的甲方的有毒有害、易燃易爆物品及地下管线等状况的数据。明确施工作业区的范围、危险点源及安全管理要求。</w:t>
      </w:r>
    </w:p>
    <w:p w14:paraId="5485ABB8">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4、为乙方提供工程合同中规定的安全作业需要的环境条件。</w:t>
      </w:r>
    </w:p>
    <w:p w14:paraId="13934682">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5、发生事故后积极组织抢险，防止事故扩大。</w:t>
      </w:r>
    </w:p>
    <w:p w14:paraId="31BC72AB">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第三条 乙方的权利和义务一、乙方的权利：</w:t>
      </w:r>
    </w:p>
    <w:p w14:paraId="5D6BC0A8">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1、有权对甲方的安全环保工作提出合理化建议。</w:t>
      </w:r>
    </w:p>
    <w:p w14:paraId="42AD4DCB">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2、在日常作业中，对甲方违章强令乙方冒险作业，有权拒绝执行；对由此产生的打击报复，有权向有关部门举报。</w:t>
      </w:r>
    </w:p>
    <w:p w14:paraId="75D8654E">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3、有权要求甲方提供符合安全施工作业的环境条件。</w:t>
      </w:r>
    </w:p>
    <w:p w14:paraId="03D4AC4F">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4、有权要求甲方在作业前进行安全交底，提供有关有毒有害、易燃易爆物品及地下管线等状况的数据。明确施工作业区的范围、危险点源及安全管理要求。</w:t>
      </w:r>
    </w:p>
    <w:p w14:paraId="7AF855B6">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5、发生严重危及乙方人员生命安全的不可抗拒紧急情况时，乙方有权采取必要的措施避险。</w:t>
      </w:r>
    </w:p>
    <w:p w14:paraId="4F710095">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二、乙方的义务：</w:t>
      </w:r>
    </w:p>
    <w:p w14:paraId="2567F09C">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1、严格按照“安全第一，预防为主”的安全工作方针，强化施工作业人员安全环保意识，服从甲方相关部门的安全管理。</w:t>
      </w:r>
    </w:p>
    <w:p w14:paraId="799050EB">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2、必须健全安全组织机构，建立安全生产责任制，严格遵守国家有关安全、消防、环保方面的法律法规及甲方和上级的各项安全环保规章制度。</w:t>
      </w:r>
    </w:p>
    <w:p w14:paraId="578CCE13">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3、根据工程服务安全施工作业的需要，乙方应在安全评价的基础上根据甲方要求编制《安全风险评价报告书》，针对施工作业项目制定健康、安全、环境措施方案，经甲方审批并备案。</w:t>
      </w:r>
    </w:p>
    <w:p w14:paraId="7BDAF808">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4、乙方应编制并提供的相关资料：（1）安全组织机构及网络图、安全工作计划、安全防火主要负责人和安全专业人员名单及联系方式；（2）安全教育与培训；（3）现场安全检查和日常检查；（4）现场安全施工的协调；（5）现场安全卫生与急救；（6）现场运输与交通安全；（7）高处作业与脚手架；（8） 用火作业与消防；（9）起吊作业；（10）有毒有害作业与防护；（11）施工用电安全；（12）现场照明；（13）粉尘作业防护和噪声防护；（14）有限空间内作业；（15）防暑降温与防寒防冻；（16）废料、废气及废水的处理和排放；（17）安全施工措施的编制与批准；（18）事故报告与调查处理；（19）其它。</w:t>
      </w:r>
    </w:p>
    <w:p w14:paraId="4C1075FE">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5、在作业前要组织所有参加作业的人员接受甲方的入厂安全教育，同时，乙方要对直接参加施工的人员有针对性地进行安全教育培训 ，内容包括安全施工方案和安全施工方法、企业的安全注意事项和规章制度、作业现场的危险性及安全措施、作业可能发生的事故和应急方法等，并进行安全培训考试，考试合格者方可进入施工现场从事作业。</w:t>
      </w:r>
    </w:p>
    <w:p w14:paraId="625070B2">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6、特种作业人员必须具有相应的资格证书。</w:t>
      </w:r>
    </w:p>
    <w:p w14:paraId="35718192">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7、在施工区域内搭建临时建筑物应事先提交申请，并有具体区域相邻建筑、管线位置图，经甲方有关部门审批后方可搭建。</w:t>
      </w:r>
    </w:p>
    <w:p w14:paraId="3C1CFDF8">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8、在施工作业现场必须设有安全警示标志，施工作业现场危险区域，夜间设红灯警示。</w:t>
      </w:r>
    </w:p>
    <w:p w14:paraId="30E49648">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9、严禁进入非施工作业区域或场所，不得乱动乱碰或拆卸甲方任何设备零件或附件；自觉维护作业区域内的建构筑物、设备管线和安全消防设施，在作业中可能对其构成影响和威胁时应立即提出并采取妥善措施予以保护。</w:t>
      </w:r>
    </w:p>
    <w:p w14:paraId="36A78394">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10、进入施工作业现场的各类人员，必须按规定着装、配戴安全帽，特种作业人员必须按特殊工种配备劳动保护用品。</w:t>
      </w:r>
    </w:p>
    <w:p w14:paraId="7F7568C2">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11、未经允许，不准占用消防通道，需占用或破路工程，必须按有关规定办理手续，在规定时间内完工后，立即恢复道路的正常使用，以保证消防通道畅通。</w:t>
      </w:r>
    </w:p>
    <w:p w14:paraId="5C32B7AF">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12、发现作业过程中有不安全行为、隐患、重大险情，应采取有效措施及时处理并报告甲方。</w:t>
      </w:r>
    </w:p>
    <w:p w14:paraId="015571F3">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13、发生事故时，应积极抢险，服从统一指挥，避免事故进一步扩大，并按要求及时上报事故。</w:t>
      </w:r>
    </w:p>
    <w:p w14:paraId="5AE16307">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14、不得使用不符合国家、行业标准和甲方规定的原材料、设备、装置、防护用品、器材、安全检测仪器等。</w:t>
      </w:r>
    </w:p>
    <w:p w14:paraId="643B63F8">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15、承担所属施工作业人员的工伤保险以及施工期间的自有及租用设备的保险责任。</w:t>
      </w:r>
    </w:p>
    <w:p w14:paraId="22DC5420">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16、施工中产生的废水、废气、废渣以及废料，必须达到环保排放要求方可排放或按要求回收，存放到指定场所。</w:t>
      </w:r>
    </w:p>
    <w:p w14:paraId="05488CF3">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17、产生噪声污染的工程项目，施工前必须采取消音措施，达到环保要求后， 方可施工。</w:t>
      </w:r>
    </w:p>
    <w:p w14:paraId="616E5556">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18、在环保设施施工中影响环保设施正常运行、穿越或迁移污水管线等必须经有关部门批准，方可施工。</w:t>
      </w:r>
    </w:p>
    <w:p w14:paraId="4BAEA465">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19、注重文明施工，做到工完料净场地清。作业结束后，须经甲方安全环保部门和施工主管部门及上级部门检查验收签字。</w:t>
      </w:r>
    </w:p>
    <w:p w14:paraId="7C5BF481">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20、乙方招用的分包商，应经甲方审批认可，并具备承担工程服务项目的施工资质和安全资格。从事特种作业的人员必须经过专业培训并取得特种专业资格证书。乙方招用的分包商的安全责任由乙方承担。</w:t>
      </w:r>
    </w:p>
    <w:p w14:paraId="4C249051">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第四条 违约责任及处理</w:t>
      </w:r>
    </w:p>
    <w:p w14:paraId="67CC9F1D">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一、甲乙双方违反本协议要求，未造成事故时，依据协议约定对违约者进行处理（包括但不限于支付违约金、停工整改、赔偿损失等）。</w:t>
      </w:r>
    </w:p>
    <w:p w14:paraId="1C3D04AF">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二、甲方违约造成的事故，甲方承担全部责任，并按规定追究有关人员责任及上报。</w:t>
      </w:r>
    </w:p>
    <w:p w14:paraId="355421DB">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三、乙方违约造成的事故，乙方承担全部责任，并按规定追究有关人员责任并报告甲方；由于乙方工程质量、检修质量及购买的原材料质量导致的事故，由乙方承担全部责任。</w:t>
      </w:r>
    </w:p>
    <w:p w14:paraId="2796E695">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四、甲乙双方共同违约造成的事故，按双方责任大小承担相应责任，并按规定追究有关人员责任并上报。</w:t>
      </w:r>
    </w:p>
    <w:p w14:paraId="0B4849DF">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第五条 发生事故时，甲乙双方均有抢险救灾的义务，所发生的费用由责任方承担。</w:t>
      </w:r>
    </w:p>
    <w:p w14:paraId="2B750376">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第六条 发生事故，由事故责任主体单位上报事故；经事故调查确认责任； 事故报告和调查应按照国家和上级的有关规定进行。</w:t>
      </w:r>
    </w:p>
    <w:p w14:paraId="7693BC42">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第七条 由于不可抗力造成协议项目施工作业事故及产生的损失，由双方各自承担相应的损失。</w:t>
      </w:r>
    </w:p>
    <w:p w14:paraId="0DF5A002">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第八条 对乙方发生事故后弄虚作假、隐瞒不报、迟报或谎报，一经查出， 按有关规定处罚，情节严重的，取消其进入甲方市场资格。</w:t>
      </w:r>
    </w:p>
    <w:p w14:paraId="0721BA49">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第九条 纠纷解决的方式：本协议履行过程中发生的任何争议纠纷，双方应通过友好协商方式解决。如协商不成，按工程服务合同所约定的争议解决方式解决。</w:t>
      </w:r>
    </w:p>
    <w:p w14:paraId="7CEDDB0B">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第十条 本协议是工程服务合同的重要组成部分，与工程服务合同具有同等法律效力。</w:t>
      </w:r>
    </w:p>
    <w:p w14:paraId="63982CFA">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第十一条 本协议与工程服务合同的实际履行期限一致。如果主合同因故需要变更期限，本协议相应与之变更至相同期限。</w:t>
      </w:r>
    </w:p>
    <w:p w14:paraId="3AC1B1A2">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第十二条 协议中的有关名词如违章、事故、不可抗力等，按国家的法律法规的规定解释。第十三条 针对协议需明确的具体安全环保要求另行说明。</w:t>
      </w:r>
    </w:p>
    <w:p w14:paraId="2EC449C4">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第十四条 本协议自双方签字盖章后生效。</w:t>
      </w:r>
    </w:p>
    <w:p w14:paraId="3EADDF13">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第十五条 本协议一式二份，甲方一份，乙方一份。</w:t>
      </w:r>
    </w:p>
    <w:p w14:paraId="3C9D4BD6">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p>
    <w:p w14:paraId="65CCD4E8">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p>
    <w:p w14:paraId="28AD1CE0">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甲 方（盖章）：</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ab/>
      </w:r>
      <w:r>
        <w:rPr>
          <w:rFonts w:hint="eastAsia" w:ascii="仿宋" w:hAnsi="仿宋" w:eastAsia="仿宋" w:cs="仿宋"/>
          <w:color w:val="0D0D0D" w:themeColor="text1" w:themeTint="F2"/>
          <w:sz w:val="22"/>
          <w:lang w:val="en-US" w:eastAsia="zh-CN"/>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乙 方（盖章）：</w:t>
      </w:r>
    </w:p>
    <w:p w14:paraId="3D88A8E6">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p>
    <w:p w14:paraId="6493B0FE">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负责人（签字）：</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ab/>
      </w:r>
      <w:r>
        <w:rPr>
          <w:rFonts w:hint="eastAsia" w:ascii="仿宋" w:hAnsi="仿宋" w:eastAsia="仿宋" w:cs="仿宋"/>
          <w:color w:val="0D0D0D" w:themeColor="text1" w:themeTint="F2"/>
          <w:sz w:val="22"/>
          <w:lang w:val="en-US" w:eastAsia="zh-CN"/>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负责人（签字）：</w:t>
      </w:r>
    </w:p>
    <w:p w14:paraId="7A559F7D">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p>
    <w:p w14:paraId="3BCE544F">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年 月 日</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ab/>
      </w:r>
      <w:r>
        <w:rPr>
          <w:rFonts w:hint="eastAsia" w:ascii="仿宋" w:hAnsi="仿宋" w:eastAsia="仿宋" w:cs="仿宋"/>
          <w:color w:val="0D0D0D" w:themeColor="text1" w:themeTint="F2"/>
          <w:sz w:val="22"/>
          <w:lang w:val="en-US" w:eastAsia="zh-CN"/>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ab/>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年 月 日</w:t>
      </w:r>
    </w:p>
    <w:p w14:paraId="5D6AAAF8"/>
    <w:sectPr>
      <w:pgSz w:w="11906" w:h="16838"/>
      <w:pgMar w:top="850" w:right="1800" w:bottom="85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6858EB"/>
    <w:multiLevelType w:val="multilevel"/>
    <w:tmpl w:val="246858EB"/>
    <w:lvl w:ilvl="0" w:tentative="0">
      <w:start w:val="1"/>
      <w:numFmt w:val="japaneseCounting"/>
      <w:lvlText w:val="第%1节"/>
      <w:lvlJc w:val="left"/>
      <w:pPr>
        <w:ind w:left="1545" w:hanging="154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AB71C3"/>
    <w:rsid w:val="44AB71C3"/>
    <w:rsid w:val="7F514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9"/>
    <w:pPr>
      <w:keepNext/>
      <w:keepLines/>
      <w:spacing w:before="120" w:after="120" w:line="360" w:lineRule="auto"/>
      <w:jc w:val="center"/>
      <w:outlineLvl w:val="1"/>
    </w:pPr>
    <w:rPr>
      <w:rFonts w:ascii="Arial" w:hAnsi="Arial"/>
      <w:b/>
      <w:bCs/>
      <w:sz w:val="28"/>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autoSpaceDE w:val="0"/>
      <w:autoSpaceDN w:val="0"/>
      <w:adjustRightInd w:val="0"/>
      <w:spacing w:line="640" w:lineRule="exact"/>
      <w:ind w:firstLine="585"/>
    </w:pPr>
    <w:rPr>
      <w:rFonts w:ascii="楷体_GB2312" w:eastAsia="楷体_GB2312"/>
      <w:kern w:val="0"/>
      <w:sz w:val="32"/>
      <w:szCs w:val="32"/>
    </w:rPr>
  </w:style>
  <w:style w:type="paragraph" w:styleId="4">
    <w:name w:val="footer"/>
    <w:basedOn w:val="1"/>
    <w:qFormat/>
    <w:uiPriority w:val="99"/>
    <w:pPr>
      <w:tabs>
        <w:tab w:val="center" w:pos="4153"/>
        <w:tab w:val="right" w:pos="8306"/>
      </w:tabs>
      <w:snapToGrid w:val="0"/>
      <w:jc w:val="left"/>
    </w:pPr>
    <w:rPr>
      <w:sz w:val="18"/>
    </w:rPr>
  </w:style>
  <w:style w:type="paragraph" w:styleId="5">
    <w:name w:val="toc 4"/>
    <w:basedOn w:val="1"/>
    <w:next w:val="1"/>
    <w:qFormat/>
    <w:uiPriority w:val="39"/>
    <w:pPr>
      <w:ind w:left="1260" w:leftChars="600"/>
    </w:pPr>
  </w:style>
  <w:style w:type="paragraph" w:styleId="8">
    <w:name w:val="List Paragraph"/>
    <w:basedOn w:val="1"/>
    <w:qFormat/>
    <w:uiPriority w:val="99"/>
    <w:pPr>
      <w:autoSpaceDE w:val="0"/>
      <w:autoSpaceDN w:val="0"/>
      <w:ind w:left="400" w:firstLine="480"/>
      <w:jc w:val="left"/>
    </w:pPr>
    <w:rPr>
      <w:rFonts w:ascii="仿宋" w:hAnsi="仿宋" w:eastAsia="仿宋" w:cs="仿宋"/>
      <w:kern w:val="0"/>
      <w:sz w:val="22"/>
      <w:szCs w:val="22"/>
    </w:rPr>
  </w:style>
  <w:style w:type="paragraph" w:customStyle="1" w:styleId="9">
    <w:name w:val="列出段落2"/>
    <w:basedOn w:val="1"/>
    <w:qFormat/>
    <w:uiPriority w:val="34"/>
    <w:pPr>
      <w:widowControl/>
      <w:spacing w:after="200" w:line="276" w:lineRule="auto"/>
      <w:ind w:left="720"/>
      <w:contextualSpacing/>
      <w:jc w:val="left"/>
    </w:pPr>
    <w:rPr>
      <w:rFonts w:ascii="Calibri" w:hAnsi="Calibri"/>
      <w:kern w:val="0"/>
      <w:sz w:val="22"/>
      <w:szCs w:val="22"/>
    </w:rPr>
  </w:style>
  <w:style w:type="paragraph" w:customStyle="1" w:styleId="10">
    <w:name w:val="Table Paragraph"/>
    <w:basedOn w:val="1"/>
    <w:qFormat/>
    <w:uiPriority w:val="1"/>
    <w:pPr>
      <w:autoSpaceDE w:val="0"/>
      <w:autoSpaceDN w:val="0"/>
      <w:jc w:val="left"/>
    </w:pPr>
    <w:rPr>
      <w:rFonts w:ascii="仿宋" w:hAnsi="仿宋" w:eastAsia="仿宋" w:cs="仿宋"/>
      <w:kern w:val="0"/>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7967</Words>
  <Characters>8177</Characters>
  <Lines>0</Lines>
  <Paragraphs>0</Paragraphs>
  <TotalTime>0</TotalTime>
  <ScaleCrop>false</ScaleCrop>
  <LinksUpToDate>false</LinksUpToDate>
  <CharactersWithSpaces>9045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2026-03-11T08:43:00Z</dcterms:created>
  <dc:creator>vousmevoyez</dc:creator>
  <cp:lastModifiedBy>vousmevoyez</cp:lastModifiedBy>
  <dcterms:modified xsi:type="dcterms:W3CDTF">2026-03-13T01:47:17Z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B291A8709AD947BC9D22C1A09BD44D3D_11</vt:lpwstr>
  </property>
  <property fmtid="{D5CDD505-2E9C-101B-9397-08002B2CF9AE}" pid="4" name="KSOTemplateDocerSaveRecord">
    <vt:lpwstr>eyJoZGlkIjoiODE5MmY0YzMxNWNiZmRhNGM1ODQzMjMxNGJlZjRlOWMiLCJ1c2VySWQiOiI0MzUyMzc4NTAifQ==</vt:lpwstr>
  </property>
</Properties>
</file>