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70BB9C">
      <w:pPr>
        <w:jc w:val="center"/>
        <w:rPr>
          <w:rFonts w:hint="eastAsia"/>
          <w:b/>
          <w:bCs/>
          <w:color w:val="000000" w:themeColor="text1"/>
          <w:sz w:val="48"/>
          <w:szCs w:val="48"/>
          <w:lang w:val="en-US" w:eastAsia="zh-CN"/>
          <w14:textFill>
            <w14:solidFill>
              <w14:schemeClr w14:val="tx1"/>
            </w14:solidFill>
          </w14:textFill>
        </w:rPr>
      </w:pPr>
      <w:r>
        <w:rPr>
          <w:rFonts w:hint="eastAsia"/>
          <w:b/>
          <w:bCs/>
          <w:color w:val="000000" w:themeColor="text1"/>
          <w:sz w:val="48"/>
          <w:szCs w:val="48"/>
          <w:lang w:val="en-US" w:eastAsia="zh-CN"/>
          <w14:textFill>
            <w14:solidFill>
              <w14:schemeClr w14:val="tx1"/>
            </w14:solidFill>
          </w14:textFill>
        </w:rPr>
        <w:t>最高限价编制说明</w:t>
      </w:r>
    </w:p>
    <w:p w14:paraId="384B769F">
      <w:pPr>
        <w:pStyle w:val="2"/>
        <w:keepNext w:val="0"/>
        <w:keepLines w:val="0"/>
        <w:pageBreakBefore w:val="0"/>
        <w:kinsoku/>
        <w:wordWrap/>
        <w:overflowPunct/>
        <w:topLinePunct w:val="0"/>
        <w:autoSpaceDE/>
        <w:autoSpaceDN/>
        <w:bidi w:val="0"/>
        <w:adjustRightInd/>
        <w:snapToGrid/>
        <w:spacing w:after="0"/>
        <w:textAlignment w:val="auto"/>
        <w:rPr>
          <w:rFonts w:hint="eastAsia"/>
          <w:lang w:val="en-US" w:eastAsia="zh-CN"/>
        </w:rPr>
      </w:pPr>
    </w:p>
    <w:p w14:paraId="61882F67">
      <w:pPr>
        <w:keepNext w:val="0"/>
        <w:keepLines w:val="0"/>
        <w:pageBreakBefore w:val="0"/>
        <w:numPr>
          <w:ilvl w:val="0"/>
          <w:numId w:val="1"/>
        </w:numPr>
        <w:kinsoku/>
        <w:wordWrap/>
        <w:overflowPunct/>
        <w:topLinePunct w:val="0"/>
        <w:autoSpaceDE/>
        <w:autoSpaceDN/>
        <w:bidi w:val="0"/>
        <w:adjustRightInd/>
        <w:snapToGrid/>
        <w:spacing w:line="720" w:lineRule="exact"/>
        <w:jc w:val="both"/>
        <w:textAlignment w:val="auto"/>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工程概况</w:t>
      </w:r>
    </w:p>
    <w:p w14:paraId="1AF27B70">
      <w:pPr>
        <w:pStyle w:val="2"/>
        <w:keepNext w:val="0"/>
        <w:keepLines w:val="0"/>
        <w:pageBreakBefore w:val="0"/>
        <w:kinsoku/>
        <w:wordWrap/>
        <w:overflowPunct/>
        <w:topLinePunct w:val="0"/>
        <w:autoSpaceDE/>
        <w:autoSpaceDN/>
        <w:bidi w:val="0"/>
        <w:adjustRightInd/>
        <w:snapToGrid/>
        <w:spacing w:after="0"/>
        <w:ind w:firstLine="560" w:firstLineChars="200"/>
        <w:textAlignment w:val="auto"/>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本工程为佛坪县东岳殿至陈家坝公路改建工程桃园沟口桥梁及引线项目位于佛坪县袁家庄街道办，拆除桃园沟口旧桥，在原址新建20.8米平板桥一座，桥宽8.5米，桥梁纵坡2.97%，上部采用2×10米普通钢筋混凝土现浇实心板;下部结构中，桥台采用柱式台，桥墩采用柱式墩，基础均采用桩基础，设计荷载为公路-I类。采用三级公路技术标准对桥头引线进行改建，设计速度30千米/小时，路基宽度7.5米，同步采用衡重式路肩墙形式实施挡土墙建设，安装Gr-B-2C类型的波形护栏。</w:t>
      </w:r>
    </w:p>
    <w:p w14:paraId="271B217B">
      <w:pPr>
        <w:keepNext w:val="0"/>
        <w:keepLines w:val="0"/>
        <w:pageBreakBefore w:val="0"/>
        <w:numPr>
          <w:ilvl w:val="0"/>
          <w:numId w:val="1"/>
        </w:numPr>
        <w:kinsoku/>
        <w:wordWrap/>
        <w:overflowPunct/>
        <w:topLinePunct w:val="0"/>
        <w:autoSpaceDE/>
        <w:autoSpaceDN/>
        <w:bidi w:val="0"/>
        <w:adjustRightInd/>
        <w:snapToGrid/>
        <w:spacing w:line="720" w:lineRule="exact"/>
        <w:ind w:left="0" w:leftChars="0" w:firstLine="0" w:firstLineChars="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编制范围</w:t>
      </w:r>
    </w:p>
    <w:p w14:paraId="622D775A">
      <w:pPr>
        <w:pStyle w:val="2"/>
        <w:keepNext w:val="0"/>
        <w:keepLines w:val="0"/>
        <w:pageBreakBefore w:val="0"/>
        <w:kinsoku/>
        <w:wordWrap/>
        <w:overflowPunct/>
        <w:topLinePunct w:val="0"/>
        <w:autoSpaceDE/>
        <w:autoSpaceDN/>
        <w:bidi w:val="0"/>
        <w:adjustRightInd/>
        <w:snapToGrid/>
        <w:spacing w:after="0"/>
        <w:ind w:firstLine="560" w:firstLineChars="200"/>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佛坪县东岳殿至陈家坝公路改建工程桃园沟口桥梁及引线项目项目</w:t>
      </w:r>
      <w:r>
        <w:rPr>
          <w:rFonts w:hint="eastAsia" w:ascii="宋体" w:hAnsi="宋体" w:eastAsia="宋体" w:cs="宋体"/>
          <w:color w:val="000000"/>
          <w:kern w:val="0"/>
          <w:sz w:val="28"/>
          <w:szCs w:val="28"/>
          <w:lang w:val="en-US" w:eastAsia="zh-CN" w:bidi="ar"/>
        </w:rPr>
        <w:t>施工图纸全部内容。</w:t>
      </w:r>
    </w:p>
    <w:p w14:paraId="43A3DA79">
      <w:pPr>
        <w:keepNext w:val="0"/>
        <w:keepLines w:val="0"/>
        <w:pageBreakBefore w:val="0"/>
        <w:numPr>
          <w:ilvl w:val="0"/>
          <w:numId w:val="1"/>
        </w:numPr>
        <w:kinsoku/>
        <w:wordWrap/>
        <w:overflowPunct/>
        <w:topLinePunct w:val="0"/>
        <w:autoSpaceDE/>
        <w:autoSpaceDN/>
        <w:bidi w:val="0"/>
        <w:adjustRightInd/>
        <w:snapToGrid/>
        <w:spacing w:line="720" w:lineRule="exact"/>
        <w:ind w:left="0" w:leftChars="0" w:firstLine="0" w:firstLineChars="0"/>
        <w:jc w:val="both"/>
        <w:textAlignment w:val="auto"/>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编制依据</w:t>
      </w:r>
    </w:p>
    <w:p w14:paraId="08380F9D">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1、交通运输部公告【2017】51号颁布的《公路工程标准施工招标文件（2018版）》；</w:t>
      </w:r>
    </w:p>
    <w:p w14:paraId="79E7D2BC">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2、交通运输部公告【2018】86号颁布的《公路工程基本建设项目概算预算编制办法》（JTG3830-2018）；</w:t>
      </w:r>
    </w:p>
    <w:p w14:paraId="693084E3">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3、交通运输部公告【2018】86号颁布的《公路工程预算定额》（JTG/T3832-2018）；</w:t>
      </w:r>
    </w:p>
    <w:p w14:paraId="3EECAF02">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4、交通运输部公告【2018】86号颁布的《公路工程机械台班费用定额》（JTG/T3833-2018）；</w:t>
      </w:r>
    </w:p>
    <w:p w14:paraId="3782552E">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5、财政部、税务总局、海关总署公告【2019】39号关于《深化增值税改革有关政策的公告》；</w:t>
      </w:r>
    </w:p>
    <w:p w14:paraId="0617B94B">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6、陕西省交通运输厅文件关于印发《&lt;公路工程建设项目投资估算编制办法&gt;&lt;公路工程建设项目概算预算编制办法&gt;补充规定》的通知（陕交发【2019】93号）；</w:t>
      </w:r>
    </w:p>
    <w:p w14:paraId="4C9CFC36">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Chars="0" w:firstLine="560" w:firstLineChars="200"/>
        <w:jc w:val="both"/>
        <w:textAlignment w:val="auto"/>
        <w:outlineLvl w:val="9"/>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7、《</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佛坪县东岳殿至陈家坝公路改建工程桃园沟口桥梁及引线项目项目</w:t>
      </w:r>
      <w:r>
        <w:rPr>
          <w:rFonts w:hint="eastAsia"/>
          <w:b w:val="0"/>
          <w:bCs w:val="0"/>
          <w:color w:val="000000" w:themeColor="text1"/>
          <w:sz w:val="28"/>
          <w:szCs w:val="28"/>
          <w:lang w:val="en-US" w:eastAsia="zh-CN"/>
          <w14:textFill>
            <w14:solidFill>
              <w14:schemeClr w14:val="tx1"/>
            </w14:solidFill>
          </w14:textFill>
        </w:rPr>
        <w:t>》施工图。</w:t>
      </w:r>
    </w:p>
    <w:p w14:paraId="32C24535">
      <w:pPr>
        <w:keepNext w:val="0"/>
        <w:keepLines w:val="0"/>
        <w:pageBreakBefore w:val="0"/>
        <w:widowControl w:val="0"/>
        <w:numPr>
          <w:ilvl w:val="0"/>
          <w:numId w:val="0"/>
        </w:numPr>
        <w:kinsoku/>
        <w:wordWrap/>
        <w:overflowPunct/>
        <w:topLinePunct w:val="0"/>
        <w:autoSpaceDE/>
        <w:autoSpaceDN/>
        <w:bidi w:val="0"/>
        <w:adjustRightInd/>
        <w:snapToGrid/>
        <w:spacing w:line="720" w:lineRule="exact"/>
        <w:jc w:val="both"/>
        <w:textAlignment w:val="auto"/>
        <w:outlineLvl w:val="9"/>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四、其他项目费及材料价格说明</w:t>
      </w:r>
    </w:p>
    <w:p w14:paraId="2EA36667">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560" w:firstLineChars="200"/>
        <w:jc w:val="both"/>
        <w:textAlignment w:val="auto"/>
        <w:outlineLvl w:val="9"/>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1、</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材料信息价按照陕西省交通运输造价事务中心颁布的2025年11月信息价</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w:t>
      </w:r>
    </w:p>
    <w:p w14:paraId="0FACAE28">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2、</w:t>
      </w:r>
      <w:r>
        <w:rPr>
          <w:rFonts w:hint="eastAsia"/>
          <w:b w:val="0"/>
          <w:bCs w:val="0"/>
          <w:color w:val="000000" w:themeColor="text1"/>
          <w:sz w:val="28"/>
          <w:szCs w:val="28"/>
          <w:lang w:val="en-US" w:eastAsia="zh-CN"/>
          <w14:textFill>
            <w14:solidFill>
              <w14:schemeClr w14:val="tx1"/>
            </w14:solidFill>
          </w14:textFill>
        </w:rPr>
        <w:t>建筑工程一切险按第200章至第700章合计的0.30%计取；</w:t>
      </w:r>
    </w:p>
    <w:p w14:paraId="4AE3DF47">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firstLine="560" w:firstLineChars="200"/>
        <w:jc w:val="both"/>
        <w:textAlignment w:val="auto"/>
        <w:outlineLvl w:val="9"/>
        <w:rPr>
          <w:rFonts w:hint="eastAsia"/>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3、第三方责任险按第200章至第700章合计的0.10%计取；</w:t>
      </w:r>
    </w:p>
    <w:p w14:paraId="7F9734AB">
      <w:pPr>
        <w:pStyle w:val="2"/>
        <w:keepNext w:val="0"/>
        <w:keepLines w:val="0"/>
        <w:pageBreakBefore w:val="0"/>
        <w:kinsoku/>
        <w:wordWrap/>
        <w:overflowPunct/>
        <w:topLinePunct w:val="0"/>
        <w:autoSpaceDE/>
        <w:autoSpaceDN/>
        <w:bidi w:val="0"/>
        <w:adjustRightInd/>
        <w:snapToGrid/>
        <w:spacing w:after="0" w:line="720" w:lineRule="exact"/>
        <w:ind w:firstLine="560" w:firstLineChars="200"/>
        <w:textAlignment w:val="auto"/>
        <w:rPr>
          <w:rFonts w:hint="default"/>
          <w:b w:val="0"/>
          <w:bCs w:val="0"/>
          <w:color w:val="000000" w:themeColor="text1"/>
          <w:sz w:val="28"/>
          <w:szCs w:val="28"/>
          <w:lang w:val="en-US" w:eastAsia="zh-CN"/>
          <w14:textFill>
            <w14:solidFill>
              <w14:schemeClr w14:val="tx1"/>
            </w14:solidFill>
          </w14:textFill>
        </w:rPr>
      </w:pPr>
      <w:r>
        <w:rPr>
          <w:rFonts w:hint="eastAsia"/>
          <w:b w:val="0"/>
          <w:bCs w:val="0"/>
          <w:color w:val="000000" w:themeColor="text1"/>
          <w:sz w:val="28"/>
          <w:szCs w:val="28"/>
          <w:lang w:val="en-US" w:eastAsia="zh-CN"/>
          <w14:textFill>
            <w14:solidFill>
              <w14:schemeClr w14:val="tx1"/>
            </w14:solidFill>
          </w14:textFill>
        </w:rPr>
        <w:t>4、安全生产费按第200章至第700章合计的1.50%计取。</w:t>
      </w:r>
    </w:p>
    <w:p w14:paraId="65A3CC59">
      <w:pPr>
        <w:pStyle w:val="2"/>
        <w:keepNext w:val="0"/>
        <w:keepLines w:val="0"/>
        <w:pageBreakBefore w:val="0"/>
        <w:kinsoku/>
        <w:wordWrap/>
        <w:overflowPunct/>
        <w:topLinePunct w:val="0"/>
        <w:autoSpaceDE/>
        <w:autoSpaceDN/>
        <w:bidi w:val="0"/>
        <w:adjustRightInd/>
        <w:snapToGrid/>
        <w:spacing w:after="0" w:line="720" w:lineRule="exact"/>
        <w:textAlignment w:val="auto"/>
        <w:rPr>
          <w:rFonts w:hint="eastAsia" w:asciiTheme="minorEastAsia" w:hAnsi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五、</w:t>
      </w: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最高限价</w:t>
      </w:r>
      <w:r>
        <w:rPr>
          <w:rFonts w:hint="eastAsia" w:asciiTheme="minorEastAsia" w:hAnsiTheme="minorEastAsia" w:eastAsiaTheme="minorEastAsia" w:cstheme="minorEastAsia"/>
          <w:b/>
          <w:bCs/>
          <w:color w:val="000000" w:themeColor="text1"/>
          <w:sz w:val="28"/>
          <w:szCs w:val="28"/>
          <w:lang w:val="en-US" w:eastAsia="zh-CN"/>
          <w14:textFill>
            <w14:solidFill>
              <w14:schemeClr w14:val="tx1"/>
            </w14:solidFill>
          </w14:textFill>
        </w:rPr>
        <w:t>金</w:t>
      </w: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额：2,642,283.00元。</w:t>
      </w:r>
    </w:p>
    <w:p w14:paraId="55FF1800">
      <w:pPr>
        <w:pStyle w:val="2"/>
        <w:keepNext w:val="0"/>
        <w:keepLines w:val="0"/>
        <w:pageBreakBefore w:val="0"/>
        <w:kinsoku/>
        <w:wordWrap/>
        <w:overflowPunct/>
        <w:topLinePunct w:val="0"/>
        <w:autoSpaceDE/>
        <w:autoSpaceDN/>
        <w:bidi w:val="0"/>
        <w:adjustRightInd/>
        <w:snapToGrid/>
        <w:spacing w:after="0" w:line="720" w:lineRule="exact"/>
        <w:textAlignment w:val="auto"/>
        <w:rPr>
          <w:rFonts w:hint="eastAsia" w:asciiTheme="minorEastAsia" w:hAnsiTheme="minorEastAsia" w:cstheme="minorEastAsia"/>
          <w:b/>
          <w:bCs/>
          <w:color w:val="000000" w:themeColor="text1"/>
          <w:sz w:val="28"/>
          <w:szCs w:val="28"/>
          <w:lang w:val="en-US" w:eastAsia="zh-CN"/>
          <w14:textFill>
            <w14:solidFill>
              <w14:schemeClr w14:val="tx1"/>
            </w14:solidFill>
          </w14:textFill>
        </w:rPr>
      </w:pPr>
      <w:r>
        <w:rPr>
          <w:rFonts w:hint="eastAsia" w:asciiTheme="minorEastAsia" w:hAnsiTheme="minorEastAsia" w:cstheme="minorEastAsia"/>
          <w:b/>
          <w:bCs/>
          <w:color w:val="000000" w:themeColor="text1"/>
          <w:sz w:val="28"/>
          <w:szCs w:val="28"/>
          <w:lang w:val="en-US" w:eastAsia="zh-CN"/>
          <w14:textFill>
            <w14:solidFill>
              <w14:schemeClr w14:val="tx1"/>
            </w14:solidFill>
          </w14:textFill>
        </w:rPr>
        <w:t xml:space="preserve">                                  </w:t>
      </w:r>
    </w:p>
    <w:p w14:paraId="39FEA0A0">
      <w:pPr>
        <w:pStyle w:val="2"/>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p>
    <w:p w14:paraId="23DDB634">
      <w:pPr>
        <w:pStyle w:val="2"/>
        <w:rPr>
          <w:rFonts w:hint="eastAsia"/>
          <w:lang w:val="en-US" w:eastAsia="zh-CN"/>
        </w:rPr>
      </w:pPr>
    </w:p>
    <w:p w14:paraId="6226D756">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outlineLvl w:val="9"/>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 xml:space="preserve">                                   </w:t>
      </w:r>
    </w:p>
    <w:p w14:paraId="143205D2">
      <w:pPr>
        <w:keepNext w:val="0"/>
        <w:keepLines w:val="0"/>
        <w:pageBreakBefore w:val="0"/>
        <w:widowControl w:val="0"/>
        <w:numPr>
          <w:ilvl w:val="0"/>
          <w:numId w:val="0"/>
        </w:numPr>
        <w:kinsoku/>
        <w:wordWrap/>
        <w:overflowPunct/>
        <w:topLinePunct w:val="0"/>
        <w:autoSpaceDE/>
        <w:autoSpaceDN/>
        <w:bidi w:val="0"/>
        <w:adjustRightInd/>
        <w:snapToGrid/>
        <w:jc w:val="both"/>
        <w:textAlignment w:val="auto"/>
        <w:outlineLvl w:val="9"/>
      </w:pP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cstheme="minorEastAsia"/>
          <w:b w:val="0"/>
          <w:bCs w:val="0"/>
          <w:color w:val="000000" w:themeColor="text1"/>
          <w:sz w:val="28"/>
          <w:szCs w:val="28"/>
          <w:lang w:val="en-US" w:eastAsia="zh-CN"/>
          <w14:textFill>
            <w14:solidFill>
              <w14:schemeClr w14:val="tx1"/>
            </w14:solidFill>
          </w14:textFill>
        </w:rPr>
        <w:t xml:space="preserve"> </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二</w:t>
      </w: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〇</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二</w:t>
      </w: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六</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年</w:t>
      </w: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三</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月</w:t>
      </w:r>
      <w:r>
        <w:rPr>
          <w:rFonts w:hint="eastAsia" w:asciiTheme="minorEastAsia" w:hAnsiTheme="minorEastAsia" w:cstheme="minorEastAsia"/>
          <w:b w:val="0"/>
          <w:bCs w:val="0"/>
          <w:color w:val="000000" w:themeColor="text1"/>
          <w:sz w:val="28"/>
          <w:szCs w:val="28"/>
          <w:highlight w:val="none"/>
          <w:lang w:val="en-US" w:eastAsia="zh-CN"/>
          <w14:textFill>
            <w14:solidFill>
              <w14:schemeClr w14:val="tx1"/>
            </w14:solidFill>
          </w14:textFill>
        </w:rPr>
        <w:t>十一</w:t>
      </w:r>
      <w:r>
        <w:rPr>
          <w:rFonts w:hint="eastAsia" w:asciiTheme="minorEastAsia" w:hAnsiTheme="minorEastAsia" w:eastAsiaTheme="minorEastAsia" w:cstheme="minorEastAsia"/>
          <w:b w:val="0"/>
          <w:bCs w:val="0"/>
          <w:color w:val="000000" w:themeColor="text1"/>
          <w:sz w:val="28"/>
          <w:szCs w:val="28"/>
          <w:highlight w:val="none"/>
          <w:lang w:val="en-US" w:eastAsia="zh-CN"/>
          <w14:textFill>
            <w14:solidFill>
              <w14:schemeClr w14:val="tx1"/>
            </w14:solidFill>
          </w14:textFill>
        </w:rPr>
        <w:t>日</w:t>
      </w:r>
      <w:bookmarkStart w:id="0" w:name="_GoBack"/>
      <w:bookmarkEnd w:id="0"/>
    </w:p>
    <w:sectPr>
      <w:headerReference r:id="rId3" w:type="default"/>
      <w:footerReference r:id="rId4" w:type="default"/>
      <w:pgSz w:w="11906" w:h="16838"/>
      <w:pgMar w:top="1440" w:right="1080" w:bottom="1440" w:left="1080" w:header="851" w:footer="992" w:gutter="0"/>
      <w:pgNumType w:start="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E8585">
    <w:pPr>
      <w:pStyle w:val="3"/>
      <w:rPr>
        <w:rFonts w:ascii="仿宋" w:hAnsi="仿宋" w:eastAsia="仿宋"/>
      </w:rPr>
    </w:pPr>
    <w:r>
      <w:rPr>
        <w:rFonts w:hint="eastAsia" w:ascii="仿宋" w:hAnsi="仿宋" w:eastAsia="仿宋"/>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913BBD">
    <w:pPr>
      <w:pStyle w:val="4"/>
      <w:pBdr>
        <w:bottom w:val="none" w:color="auto" w:sz="0" w:space="1"/>
      </w:pBdr>
      <w:jc w:val="both"/>
      <w:rPr>
        <w:rFonts w:hint="eastAsia" w:ascii="仿宋" w:hAnsi="仿宋" w:eastAsia="仿宋"/>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BDCC20"/>
    <w:multiLevelType w:val="singleLevel"/>
    <w:tmpl w:val="57BDCC2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6669A3"/>
    <w:rsid w:val="4C6669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widowControl/>
      <w:spacing w:after="120" w:line="276" w:lineRule="auto"/>
      <w:jc w:val="left"/>
    </w:pPr>
    <w:rPr>
      <w:szCs w:val="24"/>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2026-03-13T06:59:00Z</dcterms:created>
  <dc:creator>vousmevoyez</dc:creator>
  <cp:lastModifiedBy>vousmevoyez</cp:lastModifiedBy>
  <dcterms:modified xsi:type="dcterms:W3CDTF">2026-03-13T06:59:46Z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A7F7FF92229949C895ADF14AC8725121_11</vt:lpwstr>
  </property>
  <property fmtid="{D5CDD505-2E9C-101B-9397-08002B2CF9AE}" pid="4" name="KSOTemplateDocerSaveRecord">
    <vt:lpwstr>eyJoZGlkIjoiODE5MmY0YzMxNWNiZmRhNGM1ODQzMjMxNGJlZjRlOWMiLCJ1c2VySWQiOiI0MzUyMzc4NTAifQ==</vt:lpwstr>
  </property>
</Properties>
</file>